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A" w:rsidRDefault="006245BA" w:rsidP="006245BA">
      <w:pPr>
        <w:spacing w:line="360" w:lineRule="auto"/>
        <w:jc w:val="center"/>
        <w:rPr>
          <w:b/>
          <w:sz w:val="28"/>
          <w:szCs w:val="28"/>
        </w:rPr>
      </w:pPr>
      <w:r w:rsidRPr="00B25F68">
        <w:rPr>
          <w:b/>
          <w:sz w:val="28"/>
          <w:szCs w:val="28"/>
        </w:rPr>
        <w:t>Причины сопротивления организационным изменениям</w:t>
      </w:r>
      <w:r w:rsidRPr="00B25F68">
        <w:rPr>
          <w:rStyle w:val="a6"/>
          <w:b/>
          <w:sz w:val="28"/>
          <w:szCs w:val="28"/>
        </w:rPr>
        <w:footnoteReference w:id="2"/>
      </w:r>
    </w:p>
    <w:p w:rsidR="00F27B3A" w:rsidRPr="00CF6C30" w:rsidRDefault="00F27B3A" w:rsidP="00F27B3A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F6C30">
        <w:rPr>
          <w:b/>
          <w:sz w:val="28"/>
          <w:szCs w:val="28"/>
          <w:lang w:val="en-US"/>
        </w:rPr>
        <w:t>Reasons for resistance to organizational change</w:t>
      </w:r>
    </w:p>
    <w:p w:rsidR="00F27B3A" w:rsidRPr="00F27B3A" w:rsidRDefault="00F27B3A" w:rsidP="00F27B3A">
      <w:pPr>
        <w:spacing w:line="360" w:lineRule="auto"/>
        <w:rPr>
          <w:b/>
          <w:sz w:val="28"/>
          <w:szCs w:val="28"/>
        </w:rPr>
      </w:pPr>
    </w:p>
    <w:p w:rsidR="006245BA" w:rsidRPr="00B25F68" w:rsidRDefault="006245BA" w:rsidP="006245BA">
      <w:pPr>
        <w:spacing w:line="360" w:lineRule="auto"/>
      </w:pPr>
      <w:r w:rsidRPr="00B25F68">
        <w:rPr>
          <w:b/>
        </w:rPr>
        <w:t>Г.А. Мкртычян</w:t>
      </w:r>
      <w:r w:rsidRPr="00B25F68">
        <w:t>, доктор психол. наук, профессор кафедры организационной психологии НИУ ВШЭ – Нижний Новгород</w:t>
      </w:r>
    </w:p>
    <w:p w:rsidR="006245BA" w:rsidRPr="00B25F68" w:rsidRDefault="006245BA" w:rsidP="006245BA">
      <w:pPr>
        <w:spacing w:line="360" w:lineRule="auto"/>
      </w:pPr>
      <w:r w:rsidRPr="00B25F68">
        <w:rPr>
          <w:b/>
        </w:rPr>
        <w:t>Е.Е. Войлокова</w:t>
      </w:r>
      <w:r w:rsidRPr="00B25F68">
        <w:t>, кандидат психол. наук, доцент кафедры организационной психологии НИУ ВШЭ – Нижний Новгород</w:t>
      </w:r>
    </w:p>
    <w:p w:rsidR="006245BA" w:rsidRPr="00B25F68" w:rsidRDefault="006245BA" w:rsidP="006245BA">
      <w:pPr>
        <w:spacing w:line="360" w:lineRule="auto"/>
        <w:jc w:val="both"/>
        <w:rPr>
          <w:i/>
        </w:rPr>
      </w:pPr>
    </w:p>
    <w:p w:rsidR="006245BA" w:rsidRPr="00B25F68" w:rsidRDefault="006245BA" w:rsidP="006245BA">
      <w:pPr>
        <w:spacing w:line="360" w:lineRule="auto"/>
        <w:jc w:val="both"/>
        <w:rPr>
          <w:i/>
        </w:rPr>
      </w:pPr>
      <w:r w:rsidRPr="00B25F68">
        <w:rPr>
          <w:b/>
          <w:i/>
        </w:rPr>
        <w:t>Ключевые слова:</w:t>
      </w:r>
      <w:r w:rsidRPr="00B25F68">
        <w:rPr>
          <w:i/>
        </w:rPr>
        <w:t xml:space="preserve"> организационные изменения; индивидуальные, групповые, организационные причины сопротивления организационным изменениям; методы преодоления сопротивления организационным изменениям.</w:t>
      </w:r>
    </w:p>
    <w:p w:rsidR="006245BA" w:rsidRPr="00B25F68" w:rsidRDefault="006245BA" w:rsidP="006245BA">
      <w:pPr>
        <w:spacing w:line="360" w:lineRule="auto"/>
        <w:jc w:val="both"/>
        <w:rPr>
          <w:i/>
          <w:lang w:val="en-US"/>
        </w:rPr>
      </w:pPr>
      <w:r w:rsidRPr="00B25F68">
        <w:rPr>
          <w:b/>
          <w:i/>
          <w:lang w:val="en-US"/>
        </w:rPr>
        <w:t>Keywords:</w:t>
      </w:r>
      <w:r w:rsidRPr="00B25F68">
        <w:rPr>
          <w:i/>
          <w:lang w:val="en-US"/>
        </w:rPr>
        <w:t xml:space="preserve"> organizational change, individual, group and organizational causes of resistance to organizational change, and methods of overcoming resistance to organizational change.</w:t>
      </w:r>
    </w:p>
    <w:p w:rsidR="006245BA" w:rsidRPr="00B25F68" w:rsidRDefault="006245BA" w:rsidP="006245BA">
      <w:pPr>
        <w:spacing w:line="360" w:lineRule="auto"/>
        <w:jc w:val="both"/>
        <w:rPr>
          <w:i/>
          <w:lang w:val="en-US"/>
        </w:rPr>
      </w:pPr>
    </w:p>
    <w:p w:rsidR="006245BA" w:rsidRPr="00B25F68" w:rsidRDefault="006245BA" w:rsidP="006245BA">
      <w:pPr>
        <w:spacing w:line="360" w:lineRule="auto"/>
        <w:jc w:val="center"/>
        <w:rPr>
          <w:b/>
        </w:rPr>
      </w:pPr>
      <w:r w:rsidRPr="00B25F68">
        <w:rPr>
          <w:b/>
        </w:rPr>
        <w:t xml:space="preserve">Постановка проблемы 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9"/>
        <w:jc w:val="both"/>
      </w:pPr>
      <w:r w:rsidRPr="00B25F68">
        <w:t>Проблема управления организационными изменениями в последние годы  привлекает все большее внимание иссл</w:t>
      </w:r>
      <w:r w:rsidR="005519EA">
        <w:t xml:space="preserve">едователей менеджмента </w:t>
      </w:r>
      <w:r w:rsidR="005519EA" w:rsidRPr="005519EA">
        <w:t>[</w:t>
      </w:r>
      <w:r w:rsidRPr="00B25F68">
        <w:t xml:space="preserve">Андреева Т.Е., 2006, Бухбиндер Р.Г., 2009, Киган Р., Лейхи Л.Л., 2007, Фаерман М.И., 2007, </w:t>
      </w:r>
      <w:r w:rsidRPr="00B25F68">
        <w:rPr>
          <w:lang w:val="en-US"/>
        </w:rPr>
        <w:t>Maurer</w:t>
      </w:r>
      <w:r w:rsidRPr="00B25F68">
        <w:t xml:space="preserve">, </w:t>
      </w:r>
      <w:r w:rsidRPr="00B25F68">
        <w:rPr>
          <w:lang w:val="en-US"/>
        </w:rPr>
        <w:t>R</w:t>
      </w:r>
      <w:r w:rsidR="005519EA">
        <w:t>.,2010</w:t>
      </w:r>
      <w:r w:rsidR="005519EA" w:rsidRPr="005519EA">
        <w:t>]</w:t>
      </w:r>
      <w:r w:rsidRPr="00B25F68">
        <w:t xml:space="preserve"> . Обусловлено это тем, что планирование и  внедрение организационных изменений являются обязательным условием адаптации компании к постоянным изменениям в окружающей среде и ее ус</w:t>
      </w:r>
      <w:r w:rsidR="005519EA">
        <w:t xml:space="preserve">пешности в конкурентной борьбе </w:t>
      </w:r>
      <w:r w:rsidR="005519EA" w:rsidRPr="005519EA">
        <w:t>[</w:t>
      </w:r>
      <w:r w:rsidR="005519EA">
        <w:t>Р. Дафт, 2004</w:t>
      </w:r>
      <w:r w:rsidR="005519EA" w:rsidRPr="005519EA">
        <w:t>]</w:t>
      </w:r>
      <w:r w:rsidRPr="00B25F68">
        <w:t>. Понимание необходимости непрерывного организационного обучения и изменения в современных условиях нашло отражение в получившей широкое признание концепци</w:t>
      </w:r>
      <w:r w:rsidR="005519EA">
        <w:t xml:space="preserve">и обучающейся организации </w:t>
      </w:r>
      <w:r w:rsidR="005519EA" w:rsidRPr="005519EA">
        <w:t>[</w:t>
      </w:r>
      <w:r w:rsidR="005519EA">
        <w:t>К. Аржирис, 2004</w:t>
      </w:r>
      <w:r w:rsidR="005519EA" w:rsidRPr="005519EA">
        <w:t>]</w:t>
      </w:r>
      <w:r w:rsidRPr="00B25F68">
        <w:t>. В то же время следует отметить, что по примерным оценкам  около 70% плановых организаци</w:t>
      </w:r>
      <w:r w:rsidR="005519EA">
        <w:t xml:space="preserve">онных изменений терпят неудачу </w:t>
      </w:r>
      <w:r w:rsidR="005519EA" w:rsidRPr="005519EA">
        <w:t>[</w:t>
      </w:r>
      <w:r w:rsidRPr="00B25F68">
        <w:rPr>
          <w:lang w:val="en-US"/>
        </w:rPr>
        <w:t>Maurer</w:t>
      </w:r>
      <w:r w:rsidRPr="00B25F68">
        <w:t xml:space="preserve">, </w:t>
      </w:r>
      <w:r w:rsidRPr="00B25F68">
        <w:rPr>
          <w:lang w:val="en-US"/>
        </w:rPr>
        <w:t>R</w:t>
      </w:r>
      <w:r w:rsidR="005519EA">
        <w:t>., 2010</w:t>
      </w:r>
      <w:r w:rsidR="005519EA" w:rsidRPr="005519EA">
        <w:t>]</w:t>
      </w:r>
      <w:r w:rsidRPr="00B25F68">
        <w:t>. Одной из основных причин этого исследователи считают феномен сопротивлен</w:t>
      </w:r>
      <w:r w:rsidR="005519EA">
        <w:t xml:space="preserve">ия организационным изменениям </w:t>
      </w:r>
      <w:r w:rsidR="005519EA" w:rsidRPr="005519EA">
        <w:t>[</w:t>
      </w:r>
      <w:r w:rsidRPr="00B25F68">
        <w:rPr>
          <w:lang w:val="en-US"/>
        </w:rPr>
        <w:t>Bennebroek</w:t>
      </w:r>
      <w:r w:rsidRPr="00B25F68">
        <w:t xml:space="preserve"> </w:t>
      </w:r>
      <w:r w:rsidRPr="00B25F68">
        <w:rPr>
          <w:lang w:val="en-US"/>
        </w:rPr>
        <w:t>Gravenhorst</w:t>
      </w:r>
      <w:r w:rsidRPr="00B25F68">
        <w:t xml:space="preserve">, </w:t>
      </w:r>
      <w:r w:rsidRPr="00B25F68">
        <w:rPr>
          <w:lang w:val="en-US"/>
        </w:rPr>
        <w:t>K</w:t>
      </w:r>
      <w:r w:rsidRPr="00B25F68">
        <w:t>.</w:t>
      </w:r>
      <w:r w:rsidRPr="00B25F68">
        <w:rPr>
          <w:lang w:val="en-US"/>
        </w:rPr>
        <w:t>M</w:t>
      </w:r>
      <w:r w:rsidRPr="00B25F68">
        <w:t xml:space="preserve">., </w:t>
      </w:r>
      <w:r w:rsidRPr="00B25F68">
        <w:rPr>
          <w:lang w:val="en-US"/>
        </w:rPr>
        <w:t>Werkman</w:t>
      </w:r>
      <w:r w:rsidRPr="00B25F68">
        <w:t xml:space="preserve">, </w:t>
      </w:r>
      <w:r w:rsidRPr="00B25F68">
        <w:rPr>
          <w:lang w:val="en-US"/>
        </w:rPr>
        <w:t>R</w:t>
      </w:r>
      <w:r w:rsidRPr="00B25F68">
        <w:t>.</w:t>
      </w:r>
      <w:r w:rsidRPr="00B25F68">
        <w:rPr>
          <w:lang w:val="en-US"/>
        </w:rPr>
        <w:t>A</w:t>
      </w:r>
      <w:r w:rsidRPr="00B25F68">
        <w:t xml:space="preserve">., </w:t>
      </w:r>
      <w:r w:rsidRPr="00B25F68">
        <w:rPr>
          <w:lang w:val="en-US"/>
        </w:rPr>
        <w:t>Boonstra</w:t>
      </w:r>
      <w:r w:rsidRPr="00B25F68">
        <w:t xml:space="preserve">, </w:t>
      </w:r>
      <w:r w:rsidRPr="00B25F68">
        <w:rPr>
          <w:lang w:val="en-US"/>
        </w:rPr>
        <w:t>J</w:t>
      </w:r>
      <w:r w:rsidRPr="00B25F68">
        <w:t>.</w:t>
      </w:r>
      <w:r w:rsidRPr="00B25F68">
        <w:rPr>
          <w:lang w:val="en-US"/>
        </w:rPr>
        <w:t>J</w:t>
      </w:r>
      <w:r w:rsidR="005519EA">
        <w:t>., 2003</w:t>
      </w:r>
      <w:r w:rsidR="005519EA" w:rsidRPr="005519EA">
        <w:t>]</w:t>
      </w:r>
      <w:r w:rsidRPr="00B25F68">
        <w:t xml:space="preserve">. Независимо от характера плановых изменений – внедрение новых технологий работы, изменения в структуре компании, создание нового продукта, изменения в стиле управления и корпоративной культуре, изменения в кадровой политике, нововведения в материальном стимулировании и др. –  их внедрение в жизнь, как правило, сталкивается с той или иной формой сопротивления </w:t>
      </w:r>
      <w:r w:rsidRPr="00B25F68">
        <w:lastRenderedPageBreak/>
        <w:t>персонала.  В  связи с этим особую актуальность приобретает задача диагностики причин сопротивления персонала организационным изменениям и применения эффективных методов его преодоления. Конструктивное решение этой важной прикладной задачи должно опираться на понимание природы и структуры феномена сопротивления организационным изменениям.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9"/>
        <w:jc w:val="both"/>
      </w:pPr>
      <w:r w:rsidRPr="00B25F68">
        <w:t>В литературе существуют разные подходы к пониманию природы сопротивления организационным изменениям. Среди них можно выделить следующие: сопротивление как девиантное поведение людей, сопротивление как естественная и неизбежная реакция людей, сопротивление как явление, позитивно влияющее на процесс проведения и</w:t>
      </w:r>
      <w:r w:rsidR="005519EA">
        <w:t xml:space="preserve">зменений и организацию в целом </w:t>
      </w:r>
      <w:r w:rsidR="005519EA" w:rsidRPr="005519EA">
        <w:t>[</w:t>
      </w:r>
      <w:r w:rsidRPr="00B25F68">
        <w:rPr>
          <w:lang w:val="en-US"/>
        </w:rPr>
        <w:t>Ijaz</w:t>
      </w:r>
      <w:r w:rsidRPr="00B25F68">
        <w:t xml:space="preserve">, </w:t>
      </w:r>
      <w:r w:rsidRPr="00B25F68">
        <w:rPr>
          <w:lang w:val="en-US"/>
        </w:rPr>
        <w:t>S</w:t>
      </w:r>
      <w:r w:rsidRPr="00B25F68">
        <w:t xml:space="preserve">. </w:t>
      </w:r>
      <w:r w:rsidRPr="00B25F68">
        <w:rPr>
          <w:lang w:val="en-US"/>
        </w:rPr>
        <w:t>and</w:t>
      </w:r>
      <w:r w:rsidRPr="00B25F68">
        <w:t xml:space="preserve"> </w:t>
      </w:r>
      <w:r w:rsidRPr="00B25F68">
        <w:rPr>
          <w:lang w:val="en-US"/>
        </w:rPr>
        <w:t>Vitalis</w:t>
      </w:r>
      <w:r w:rsidRPr="00B25F68">
        <w:t xml:space="preserve">, </w:t>
      </w:r>
      <w:r w:rsidRPr="00B25F68">
        <w:rPr>
          <w:lang w:val="en-US"/>
        </w:rPr>
        <w:t>A</w:t>
      </w:r>
      <w:r w:rsidR="005519EA">
        <w:t>.,2011</w:t>
      </w:r>
      <w:r w:rsidR="005519EA" w:rsidRPr="005519EA">
        <w:t>]</w:t>
      </w:r>
      <w:r w:rsidRPr="00B25F68">
        <w:t xml:space="preserve">. Можно говорить о том, что  сопротивление изменениям – это комплексный феномен, включающий в себя как психологические механизмы и обусловленность, так и поведенческие признаки, определяющие направленность сопротивлений. </w:t>
      </w:r>
    </w:p>
    <w:p w:rsidR="006245BA" w:rsidRPr="00B25F68" w:rsidRDefault="006245BA" w:rsidP="00B25F68">
      <w:pPr>
        <w:pStyle w:val="p"/>
        <w:spacing w:before="0" w:beforeAutospacing="0" w:after="0" w:afterAutospacing="0" w:line="360" w:lineRule="auto"/>
        <w:ind w:firstLine="709"/>
        <w:jc w:val="both"/>
      </w:pPr>
      <w:r w:rsidRPr="00B25F68">
        <w:t>В нашем исследовании мы исходим из понимания феномена сопротивления организационным изменениям как одной из форм организационного поведения. Системный подход к изучению организационного поведения предполагает выделение трех уровней анализа поведения: индивидуального, группового и ор</w:t>
      </w:r>
      <w:r w:rsidR="005519EA">
        <w:t xml:space="preserve">ганизационного </w:t>
      </w:r>
      <w:r w:rsidR="005519EA" w:rsidRPr="005519EA">
        <w:t>[</w:t>
      </w:r>
      <w:r w:rsidR="005519EA">
        <w:t>Дж. Гринберг, Р. Бэйрон, 2004</w:t>
      </w:r>
      <w:r w:rsidR="005519EA">
        <w:rPr>
          <w:lang w:val="en-US"/>
        </w:rPr>
        <w:t>]</w:t>
      </w:r>
      <w:r w:rsidRPr="00B25F68">
        <w:t xml:space="preserve">. Отталкиваясь от этого, мы предполагаем, что изучение сопротивления организационным изменениям также должно включать в себя  три уровня анализа:  </w:t>
      </w:r>
      <w:r w:rsidRPr="00B25F68">
        <w:rPr>
          <w:i/>
        </w:rPr>
        <w:t>индивидуальный, групповой и организационный</w:t>
      </w:r>
      <w:r w:rsidRPr="00B25F68">
        <w:t xml:space="preserve">. 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>В концепции Дэйва Ульриха (2007) одной из основных профессиональных ролей современного HR-менеджера (наряду с ролями «стратегический партнер», «административный эксперт» и «лидер персонала») выступает роль "</w:t>
      </w:r>
      <w:r w:rsidRPr="00B25F68">
        <w:rPr>
          <w:i/>
        </w:rPr>
        <w:t>агента перемен</w:t>
      </w:r>
      <w:r w:rsidRPr="00B25F68">
        <w:t xml:space="preserve">", т.е. функция управления преобразованиями в организации. При этом в его задачи входит не только инициирование тех или иных преобразований, но и преодоление сопротивления сотрудников этим преобразованиям. Иными словами, именно </w:t>
      </w:r>
      <w:r w:rsidRPr="00B25F68">
        <w:rPr>
          <w:lang w:val="en-US"/>
        </w:rPr>
        <w:t>HR</w:t>
      </w:r>
      <w:r w:rsidRPr="00B25F68">
        <w:t xml:space="preserve"> – менеджеру в первую очередь делегируются функции по диагностике и преодолению сопротивления организационным изменениям. Очевидно, что решение этой сложной задачи возможно только в условиях его тесного взаимодействия с линейными менеджерами. Однако ведущая роль и координация усилий отводится, в конечном счете, службе управления персоналом. Исходя из этого, объектом нашего исследования выступили </w:t>
      </w:r>
      <w:r w:rsidRPr="00B25F68">
        <w:rPr>
          <w:lang w:val="en-US"/>
        </w:rPr>
        <w:t>HR</w:t>
      </w:r>
      <w:r w:rsidRPr="00B25F68">
        <w:t xml:space="preserve"> – менеджеры нижегородских компаний, в функции которых  входит  работа по преодолению сопротивления организационным изменениям.</w:t>
      </w:r>
    </w:p>
    <w:p w:rsidR="00F27B3A" w:rsidRDefault="00F27B3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F27B3A" w:rsidRDefault="00F27B3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B25F68">
        <w:rPr>
          <w:b/>
        </w:rPr>
        <w:lastRenderedPageBreak/>
        <w:t>Выборка испытуемых и методика исследования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Выборку респондентов составили 30 </w:t>
      </w:r>
      <w:r w:rsidRPr="00B25F68">
        <w:rPr>
          <w:lang w:val="en-US"/>
        </w:rPr>
        <w:t>HR</w:t>
      </w:r>
      <w:r w:rsidRPr="00B25F68">
        <w:t xml:space="preserve">-менеджеров, занимающих должности директоров (заместителей) служб управления персоналом и руководители отделов (департаментов), имеющих опыт работы с сопротивлением персонала организационным изменениям. </w:t>
      </w:r>
      <w:r w:rsidRPr="00B25F68">
        <w:rPr>
          <w:lang w:val="en-US"/>
        </w:rPr>
        <w:t>HR</w:t>
      </w:r>
      <w:r w:rsidRPr="00B25F68">
        <w:t xml:space="preserve">-менеджеры представляли широкий спектр нижегородских компаний, работающих в различных отраслях экономики, в том числе:  </w:t>
      </w:r>
      <w:r w:rsidRPr="00B25F68">
        <w:rPr>
          <w:color w:val="000000"/>
        </w:rPr>
        <w:t>HORECA</w:t>
      </w:r>
      <w:r w:rsidRPr="00B25F68">
        <w:t xml:space="preserve"> (ГК ПИР, </w:t>
      </w:r>
      <w:r w:rsidRPr="00B25F68">
        <w:rPr>
          <w:lang w:val="en-US"/>
        </w:rPr>
        <w:t>Love</w:t>
      </w:r>
      <w:r w:rsidRPr="00B25F68">
        <w:t xml:space="preserve"> </w:t>
      </w:r>
      <w:r w:rsidRPr="00B25F68">
        <w:rPr>
          <w:lang w:val="en-US"/>
        </w:rPr>
        <w:t>Food</w:t>
      </w:r>
      <w:r w:rsidRPr="00B25F68">
        <w:t xml:space="preserve"> , </w:t>
      </w:r>
      <w:r w:rsidRPr="00B25F68">
        <w:rPr>
          <w:lang w:val="en-US"/>
        </w:rPr>
        <w:t>X</w:t>
      </w:r>
      <w:r w:rsidRPr="00B25F68">
        <w:t xml:space="preserve">5 </w:t>
      </w:r>
      <w:r w:rsidRPr="00B25F68">
        <w:rPr>
          <w:lang w:val="en-US"/>
        </w:rPr>
        <w:t>retail</w:t>
      </w:r>
      <w:r w:rsidRPr="00B25F68">
        <w:t xml:space="preserve"> </w:t>
      </w:r>
      <w:r w:rsidRPr="00B25F68">
        <w:rPr>
          <w:lang w:val="en-US"/>
        </w:rPr>
        <w:t>group</w:t>
      </w:r>
      <w:r w:rsidRPr="00B25F68">
        <w:t xml:space="preserve">); банки (Сбербанк, Росбанк, МДМ банк), телекоммуникации (МТС, Мегафон, Ростелеком); промышленное производство и транспорт (ГАЗ, Гидротермаль, УК ОБФ, РЖД); продажа автомобилей (АГАТ, «Автомобили Баварии», Плаза, Трансинвест), производство продуктов питания (НМЖК, Сладкая жизнь, </w:t>
      </w:r>
      <w:r w:rsidRPr="00B25F68">
        <w:rPr>
          <w:lang w:val="en-US"/>
        </w:rPr>
        <w:t>Coca</w:t>
      </w:r>
      <w:r w:rsidRPr="00B25F68">
        <w:t>-</w:t>
      </w:r>
      <w:r w:rsidRPr="00B25F68">
        <w:rPr>
          <w:lang w:val="en-US"/>
        </w:rPr>
        <w:t>Cola</w:t>
      </w:r>
      <w:r w:rsidRPr="00B25F68">
        <w:t>), инжиниринг (Атомэнергопроект,  НИАЭП, Гринатом), страхование (Росгосстрах, Альфастрахование, «Орбайте»),  фармацевтика  (Штада, Нижфарм), услуги (</w:t>
      </w:r>
      <w:r w:rsidRPr="00B25F68">
        <w:rPr>
          <w:lang w:val="en-US"/>
        </w:rPr>
        <w:t>Word</w:t>
      </w:r>
      <w:r w:rsidRPr="00B25F68">
        <w:t xml:space="preserve"> </w:t>
      </w:r>
      <w:r w:rsidRPr="00B25F68">
        <w:rPr>
          <w:lang w:val="en-US"/>
        </w:rPr>
        <w:t>Class</w:t>
      </w:r>
      <w:r w:rsidRPr="00B25F68">
        <w:t xml:space="preserve">, </w:t>
      </w:r>
      <w:r w:rsidRPr="00B25F68">
        <w:rPr>
          <w:lang w:val="en-US"/>
        </w:rPr>
        <w:t>Tom</w:t>
      </w:r>
      <w:r w:rsidRPr="00B25F68">
        <w:t xml:space="preserve"> </w:t>
      </w:r>
      <w:r w:rsidRPr="00B25F68">
        <w:rPr>
          <w:lang w:val="en-US"/>
        </w:rPr>
        <w:t>Hunt</w:t>
      </w:r>
      <w:r w:rsidRPr="00B25F68">
        <w:t xml:space="preserve">, </w:t>
      </w:r>
      <w:r w:rsidRPr="00B25F68">
        <w:rPr>
          <w:lang w:val="en-US"/>
        </w:rPr>
        <w:t>Adecco</w:t>
      </w:r>
      <w:r w:rsidRPr="00B25F68">
        <w:t xml:space="preserve">) и др.  Среди них по своему масштабу: 6 компаний являются нижегородскими, 6 – региональными,  11 – российскими и 7 –  транснациональными. 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 Исследование проводилось методом письменного опроса. Разработанный нами опросник включал  в себя 22 вопроса, разбитых на 4 блока. Первый блок (8 вопросов) направлен на выявление характеристик компании: название, направление деятельности, возраст, численность персонала, масштаб, стадия развития, структура и тип организационной культуры. Второй блок (4 вопроса) нацелен на выявление характера проводимых в компании плановых изменений и оценку (по 7-бальной шкале) общей интенсивности сопротивления персонала изменениям. Третий блок (5 вопросов) нацелен на оценку (по 7-баллльной шкале) основных индивидуальных, групповых и организационных причин  сопротивления изменениям. И, наконец, четвертый блок  (5 вопросов) нацелен на выявление  методов, которые используют  работники </w:t>
      </w:r>
      <w:r w:rsidRPr="00B25F68">
        <w:rPr>
          <w:lang w:val="en-US"/>
        </w:rPr>
        <w:t>HR</w:t>
      </w:r>
      <w:r w:rsidRPr="00B25F68">
        <w:t>-служб  для преодоления индивидуальных, групповых и организационных причин сопротивления персонала изменениям и роли линейных менеджеров в решении этой проблемы.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B25F68">
        <w:rPr>
          <w:b/>
        </w:rPr>
        <w:t>Основные результаты исследования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>Результаты проведенного опроса были подвергнуты статистической обработке с помощью программы SPSS 13.0 for Windows. Ниже представлены первичные результаты обработки данных.</w:t>
      </w:r>
    </w:p>
    <w:p w:rsidR="006245BA" w:rsidRPr="00B25F68" w:rsidRDefault="006245BA" w:rsidP="006245BA">
      <w:pPr>
        <w:spacing w:line="360" w:lineRule="auto"/>
        <w:jc w:val="both"/>
      </w:pPr>
      <w:r w:rsidRPr="00B25F68">
        <w:t xml:space="preserve">           Анализ характера плановых изменений  свидетельствует о том, что чаще всего они касаются структуры компании (80%), внедрения новых технологий работы (67%), а также создания новых направлений деятельности (нового продукта) (60%) и нововведений в системе материального стимулирования (60%). Относительно реже происходят изменения в стиле </w:t>
      </w:r>
      <w:r w:rsidRPr="00B25F68">
        <w:lastRenderedPageBreak/>
        <w:t xml:space="preserve">управления и корпоративной культуре (50%), а также в кадровой политике (43%). При этом как наиболее значимые для компаний </w:t>
      </w:r>
      <w:r w:rsidRPr="00B25F68">
        <w:rPr>
          <w:lang w:val="en-US"/>
        </w:rPr>
        <w:t>HR</w:t>
      </w:r>
      <w:r w:rsidRPr="00B25F68">
        <w:t>-менеджеры оценивают внедрение новых технологий работы, создание новых направлений деятельности (нового продукта) и изменения в стиле управления и корпоративной культуре.</w:t>
      </w:r>
    </w:p>
    <w:p w:rsidR="006245BA" w:rsidRPr="00B25F68" w:rsidRDefault="006245BA" w:rsidP="006245BA">
      <w:pPr>
        <w:spacing w:line="360" w:lineRule="auto"/>
        <w:jc w:val="both"/>
      </w:pPr>
      <w:r w:rsidRPr="00B25F68">
        <w:t xml:space="preserve">       </w:t>
      </w:r>
      <w:r w:rsidRPr="00B25F68">
        <w:tab/>
        <w:t>Общая интенсивность сопротивления персонала организационным изменениям показана на  рис.1, из которого можно видеть, что распределение оценок близко к нормальному и наиболее типичной является средняя интенсивность сопротивления.</w:t>
      </w:r>
    </w:p>
    <w:p w:rsidR="006245BA" w:rsidRPr="00B25F68" w:rsidRDefault="006245BA" w:rsidP="006245BA">
      <w:pPr>
        <w:spacing w:line="360" w:lineRule="auto"/>
        <w:jc w:val="center"/>
      </w:pPr>
      <w:r w:rsidRPr="00B25F68">
        <w:rPr>
          <w:noProof/>
        </w:rPr>
        <w:drawing>
          <wp:inline distT="0" distB="0" distL="0" distR="0">
            <wp:extent cx="4573270" cy="2276475"/>
            <wp:effectExtent l="19050" t="0" r="1778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45BA" w:rsidRPr="00F75A78" w:rsidRDefault="006245BA" w:rsidP="006245BA">
      <w:pPr>
        <w:spacing w:line="360" w:lineRule="auto"/>
        <w:jc w:val="both"/>
      </w:pPr>
      <w:r w:rsidRPr="00F75A78">
        <w:rPr>
          <w:b/>
          <w:i/>
        </w:rPr>
        <w:t>Рис.1</w:t>
      </w:r>
      <w:r w:rsidRPr="00B25F68">
        <w:rPr>
          <w:i/>
        </w:rPr>
        <w:t>.</w:t>
      </w:r>
      <w:r w:rsidRPr="00B25F68">
        <w:t xml:space="preserve"> </w:t>
      </w:r>
      <w:r w:rsidRPr="00F75A78">
        <w:t>Общая интенсивность сопротивления сотрудников организационным изменениям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Одним из ключевых для понимания причин сопротивления персонала организационным изменениям является вопрос о том, какая именно группа причин – индивидуальных, групповых или организационных – является  основной для  возникновения сопротивления.  Ниже в таблице 1 представлены результаты ранжирования </w:t>
      </w:r>
      <w:r w:rsidRPr="00B25F68">
        <w:rPr>
          <w:lang w:val="en-US"/>
        </w:rPr>
        <w:t>HR</w:t>
      </w:r>
      <w:r w:rsidRPr="00B25F68">
        <w:t>-менеджерами трех групп причин сопротивления.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right"/>
        <w:rPr>
          <w:i/>
        </w:rPr>
      </w:pPr>
      <w:r w:rsidRPr="00B25F68">
        <w:rPr>
          <w:i/>
        </w:rPr>
        <w:t>Таблица 1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B25F68">
        <w:rPr>
          <w:b/>
        </w:rPr>
        <w:t xml:space="preserve">Ранжирование индивидуальных, групповых и организационных причин </w:t>
      </w:r>
    </w:p>
    <w:p w:rsidR="006245BA" w:rsidRPr="00B25F68" w:rsidRDefault="006245BA" w:rsidP="00B25F68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B25F68">
        <w:rPr>
          <w:b/>
        </w:rPr>
        <w:t xml:space="preserve">по степени их значимости 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6245BA" w:rsidRPr="00B25F68" w:rsidTr="001A5FD9">
        <w:tc>
          <w:tcPr>
            <w:tcW w:w="2392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</w:rPr>
            </w:pPr>
            <w:r w:rsidRPr="00B25F68">
              <w:rPr>
                <w:i/>
              </w:rPr>
              <w:t>Причины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</w:rPr>
            </w:pPr>
            <w:r w:rsidRPr="00B25F68">
              <w:rPr>
                <w:i/>
              </w:rPr>
              <w:t>1-е место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</w:rPr>
            </w:pPr>
            <w:r w:rsidRPr="00B25F68">
              <w:rPr>
                <w:i/>
              </w:rPr>
              <w:t>2-е место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  <w:rPr>
                <w:i/>
              </w:rPr>
            </w:pPr>
            <w:r w:rsidRPr="00B25F68">
              <w:rPr>
                <w:i/>
              </w:rPr>
              <w:t>3-е место</w:t>
            </w:r>
          </w:p>
        </w:tc>
      </w:tr>
      <w:tr w:rsidR="006245BA" w:rsidRPr="00B25F68" w:rsidTr="001A5FD9">
        <w:tc>
          <w:tcPr>
            <w:tcW w:w="2392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 xml:space="preserve">Индивидуальные 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12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8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10</w:t>
            </w:r>
          </w:p>
        </w:tc>
      </w:tr>
      <w:tr w:rsidR="006245BA" w:rsidRPr="00B25F68" w:rsidTr="001A5FD9">
        <w:tc>
          <w:tcPr>
            <w:tcW w:w="2392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 xml:space="preserve">Групповые 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7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16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7</w:t>
            </w:r>
          </w:p>
        </w:tc>
      </w:tr>
      <w:tr w:rsidR="006245BA" w:rsidRPr="00B25F68" w:rsidTr="001A5FD9">
        <w:tc>
          <w:tcPr>
            <w:tcW w:w="2392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Организационные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11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6</w:t>
            </w:r>
          </w:p>
        </w:tc>
        <w:tc>
          <w:tcPr>
            <w:tcW w:w="239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13</w:t>
            </w:r>
          </w:p>
        </w:tc>
      </w:tr>
    </w:tbl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Легко видеть, что основными причинами сопротивления персонала изменениям </w:t>
      </w:r>
      <w:r w:rsidRPr="00B25F68">
        <w:rPr>
          <w:lang w:val="en-US"/>
        </w:rPr>
        <w:t>HR</w:t>
      </w:r>
      <w:r w:rsidRPr="00B25F68">
        <w:t xml:space="preserve">-менеджеры считают причины индивидуальные либо организационные, а групповые причины оцениваются как менее значимые. </w:t>
      </w:r>
    </w:p>
    <w:p w:rsidR="006245BA" w:rsidRPr="00B25F68" w:rsidRDefault="006245BA" w:rsidP="006245BA">
      <w:pPr>
        <w:spacing w:line="360" w:lineRule="auto"/>
        <w:jc w:val="both"/>
      </w:pPr>
      <w:r w:rsidRPr="00B25F68">
        <w:lastRenderedPageBreak/>
        <w:t xml:space="preserve">         Результаты изучения степени влияния различных причин на сопротивление организационным изменениям представлены в табл. 2</w:t>
      </w:r>
    </w:p>
    <w:p w:rsidR="00B25F68" w:rsidRDefault="00B25F68" w:rsidP="006245BA">
      <w:pPr>
        <w:pStyle w:val="p"/>
        <w:spacing w:before="0" w:beforeAutospacing="0" w:after="0" w:afterAutospacing="0" w:line="360" w:lineRule="auto"/>
        <w:ind w:firstLine="708"/>
        <w:jc w:val="right"/>
        <w:rPr>
          <w:i/>
        </w:rPr>
      </w:pPr>
    </w:p>
    <w:p w:rsidR="00B25F68" w:rsidRDefault="00B25F68" w:rsidP="006245BA">
      <w:pPr>
        <w:pStyle w:val="p"/>
        <w:spacing w:before="0" w:beforeAutospacing="0" w:after="0" w:afterAutospacing="0" w:line="360" w:lineRule="auto"/>
        <w:ind w:firstLine="708"/>
        <w:jc w:val="right"/>
        <w:rPr>
          <w:i/>
        </w:rPr>
      </w:pP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right"/>
        <w:rPr>
          <w:i/>
        </w:rPr>
      </w:pPr>
      <w:r w:rsidRPr="00B25F68">
        <w:rPr>
          <w:i/>
        </w:rPr>
        <w:t>Таблица 2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center"/>
      </w:pPr>
      <w:r w:rsidRPr="00B25F68">
        <w:rPr>
          <w:b/>
        </w:rPr>
        <w:t>Степень влияния индивидуальных, групповых, организационных причин на сопротивление организационным изменениям</w:t>
      </w:r>
    </w:p>
    <w:tbl>
      <w:tblPr>
        <w:tblStyle w:val="a3"/>
        <w:tblW w:w="0" w:type="auto"/>
        <w:tblLook w:val="01E0"/>
      </w:tblPr>
      <w:tblGrid>
        <w:gridCol w:w="468"/>
        <w:gridCol w:w="6480"/>
        <w:gridCol w:w="1240"/>
        <w:gridCol w:w="1383"/>
      </w:tblGrid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№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  <w:rPr>
                <w:b/>
              </w:rPr>
            </w:pPr>
            <w:r w:rsidRPr="00B25F68">
              <w:rPr>
                <w:b/>
              </w:rPr>
              <w:t>Причины сопротивления персонала изменениям</w:t>
            </w:r>
          </w:p>
        </w:tc>
        <w:tc>
          <w:tcPr>
            <w:tcW w:w="2623" w:type="dxa"/>
            <w:gridSpan w:val="2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  <w:rPr>
                <w:b/>
              </w:rPr>
            </w:pPr>
            <w:r w:rsidRPr="00B25F68">
              <w:rPr>
                <w:b/>
              </w:rPr>
              <w:t>Степень влияния</w:t>
            </w:r>
          </w:p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 xml:space="preserve"> (по7-балльной шкале)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  <w:rPr>
                <w:b/>
                <w:i/>
              </w:rPr>
            </w:pP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25F68">
              <w:rPr>
                <w:b/>
                <w:i/>
              </w:rPr>
              <w:t>Индивидуальные</w:t>
            </w:r>
          </w:p>
        </w:tc>
        <w:tc>
          <w:tcPr>
            <w:tcW w:w="1240" w:type="dxa"/>
            <w:vAlign w:val="center"/>
          </w:tcPr>
          <w:p w:rsidR="006245BA" w:rsidRPr="00B25F68" w:rsidRDefault="006245BA" w:rsidP="001A5FD9">
            <w:pPr>
              <w:jc w:val="center"/>
              <w:rPr>
                <w:lang w:val="en-US"/>
              </w:rPr>
            </w:pPr>
            <w:r w:rsidRPr="00B25F68">
              <w:rPr>
                <w:lang w:val="en-US"/>
              </w:rPr>
              <w:t>Ср. знач.</w:t>
            </w:r>
          </w:p>
        </w:tc>
        <w:tc>
          <w:tcPr>
            <w:tcW w:w="1383" w:type="dxa"/>
            <w:vAlign w:val="center"/>
          </w:tcPr>
          <w:p w:rsidR="006245BA" w:rsidRPr="00B25F68" w:rsidRDefault="006245BA" w:rsidP="001A5FD9">
            <w:pPr>
              <w:jc w:val="center"/>
              <w:rPr>
                <w:lang w:val="en-US"/>
              </w:rPr>
            </w:pPr>
            <w:r w:rsidRPr="00B25F68">
              <w:rPr>
                <w:lang w:val="en-US"/>
              </w:rPr>
              <w:t>Станд. откл.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rPr>
                <w:i/>
              </w:rPr>
              <w:t>Инертность</w:t>
            </w:r>
            <w:r w:rsidRPr="00B25F68">
              <w:t>, нежелание преодолевать трудности и брать на себя дополнительные обязательства, неуверенность в себе и мотивация избегания неудач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4,65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1,69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2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rPr>
                <w:i/>
              </w:rPr>
              <w:t>Страх</w:t>
            </w:r>
            <w:r w:rsidRPr="00B25F68">
              <w:t xml:space="preserve"> перед воображаемыми или реальными негативными последствиями: угроза трудовой занятости, материальных потерь, положению в компании и т.п.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3,83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1,80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3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 xml:space="preserve">Отсутствие </w:t>
            </w:r>
            <w:r w:rsidRPr="00B25F68">
              <w:rPr>
                <w:i/>
              </w:rPr>
              <w:t>уважения</w:t>
            </w:r>
            <w:r w:rsidRPr="00B25F68">
              <w:t xml:space="preserve"> и </w:t>
            </w:r>
            <w:r w:rsidRPr="00B25F68">
              <w:rPr>
                <w:i/>
              </w:rPr>
              <w:t>доверия</w:t>
            </w:r>
            <w:r w:rsidRPr="00B25F68">
              <w:t xml:space="preserve"> к лицам, осуществляющим изменения (в силу пренебрежительного отношение к сотрудникам, отсутствия профессионального опыта и др.)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2,7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1,70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25F68">
              <w:rPr>
                <w:b/>
                <w:i/>
              </w:rPr>
              <w:t>Групповые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 xml:space="preserve">Устоявшиеся </w:t>
            </w:r>
            <w:r w:rsidRPr="00B25F68">
              <w:rPr>
                <w:i/>
              </w:rPr>
              <w:t>групповые нормы</w:t>
            </w:r>
            <w:r w:rsidRPr="00B25F68">
              <w:t xml:space="preserve"> (неформальные правила поведения)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3,8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1,85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2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rPr>
                <w:i/>
              </w:rPr>
              <w:t xml:space="preserve"> Групповая сплоченность</w:t>
            </w:r>
            <w:r w:rsidRPr="00B25F68">
              <w:t xml:space="preserve"> (в ситуации несовпадения целей группы и целей организации)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3,73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1,76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3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 xml:space="preserve">Угроза </w:t>
            </w:r>
            <w:r w:rsidRPr="00B25F68">
              <w:rPr>
                <w:i/>
              </w:rPr>
              <w:t>потери  власти</w:t>
            </w:r>
            <w:r w:rsidRPr="00B25F68">
              <w:t xml:space="preserve"> подразделения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2,98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2,06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25F68">
              <w:rPr>
                <w:b/>
                <w:i/>
              </w:rPr>
              <w:t>Организационные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1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>Несовершенная система организационной</w:t>
            </w:r>
            <w:r w:rsidRPr="00B25F68">
              <w:rPr>
                <w:i/>
              </w:rPr>
              <w:t xml:space="preserve"> коммуникации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4,27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1,70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2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>Особенности</w:t>
            </w:r>
            <w:r w:rsidRPr="00B25F68">
              <w:rPr>
                <w:i/>
              </w:rPr>
              <w:t xml:space="preserve"> организационной культуры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3,3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2,00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3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 xml:space="preserve">Отсутствие </w:t>
            </w:r>
            <w:r w:rsidRPr="00B25F68">
              <w:rPr>
                <w:i/>
              </w:rPr>
              <w:t>ясной</w:t>
            </w:r>
            <w:r w:rsidRPr="00B25F68">
              <w:t xml:space="preserve"> </w:t>
            </w:r>
            <w:r w:rsidRPr="00B25F68">
              <w:rPr>
                <w:i/>
              </w:rPr>
              <w:t>стратегии</w:t>
            </w:r>
            <w:r w:rsidRPr="00B25F68">
              <w:t xml:space="preserve"> развития компании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3,3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2,00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4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t>С</w:t>
            </w:r>
            <w:r w:rsidRPr="00B25F68">
              <w:rPr>
                <w:i/>
              </w:rPr>
              <w:t>труктура</w:t>
            </w:r>
            <w:r w:rsidRPr="00B25F68">
              <w:t xml:space="preserve"> компании (препятствующая проведению организационных изменений)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3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2,06</w:t>
            </w:r>
          </w:p>
        </w:tc>
      </w:tr>
      <w:tr w:rsidR="006245BA" w:rsidRPr="00B25F68" w:rsidTr="001A5FD9">
        <w:tc>
          <w:tcPr>
            <w:tcW w:w="468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 w:line="360" w:lineRule="auto"/>
              <w:jc w:val="center"/>
            </w:pPr>
            <w:r w:rsidRPr="00B25F68">
              <w:t>5</w:t>
            </w:r>
          </w:p>
        </w:tc>
        <w:tc>
          <w:tcPr>
            <w:tcW w:w="648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both"/>
            </w:pPr>
            <w:r w:rsidRPr="00B25F68">
              <w:rPr>
                <w:i/>
              </w:rPr>
              <w:t>Авторитарный</w:t>
            </w:r>
            <w:r w:rsidRPr="00B25F68">
              <w:t xml:space="preserve"> </w:t>
            </w:r>
            <w:r w:rsidRPr="00B25F68">
              <w:rPr>
                <w:i/>
              </w:rPr>
              <w:t>стиль</w:t>
            </w:r>
            <w:r w:rsidRPr="00B25F68">
              <w:t xml:space="preserve"> </w:t>
            </w:r>
            <w:r w:rsidRPr="00B25F68">
              <w:rPr>
                <w:i/>
              </w:rPr>
              <w:t xml:space="preserve">управления  в </w:t>
            </w:r>
            <w:r w:rsidRPr="00B25F68">
              <w:t>проведении организационных изменений</w:t>
            </w:r>
          </w:p>
        </w:tc>
        <w:tc>
          <w:tcPr>
            <w:tcW w:w="1240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2,87</w:t>
            </w:r>
          </w:p>
        </w:tc>
        <w:tc>
          <w:tcPr>
            <w:tcW w:w="1383" w:type="dxa"/>
          </w:tcPr>
          <w:p w:rsidR="006245BA" w:rsidRPr="00B25F68" w:rsidRDefault="006245BA" w:rsidP="001A5FD9">
            <w:pPr>
              <w:pStyle w:val="p"/>
              <w:spacing w:before="0" w:beforeAutospacing="0" w:after="0" w:afterAutospacing="0"/>
              <w:jc w:val="center"/>
            </w:pPr>
            <w:r w:rsidRPr="00B25F68">
              <w:t>2,33</w:t>
            </w:r>
          </w:p>
        </w:tc>
      </w:tr>
    </w:tbl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ind w:firstLine="708"/>
        <w:jc w:val="both"/>
      </w:pPr>
      <w:r w:rsidRPr="00B25F68">
        <w:t xml:space="preserve">Обращает на себя внимание, что в группе индивидуальных причин сопротивления изменениям первое место занимает </w:t>
      </w:r>
      <w:r w:rsidRPr="00B25F68">
        <w:rPr>
          <w:i/>
        </w:rPr>
        <w:t>инертность</w:t>
      </w:r>
      <w:r w:rsidRPr="00B25F68">
        <w:t xml:space="preserve">  персонала и </w:t>
      </w:r>
      <w:r w:rsidRPr="00B25F68">
        <w:rPr>
          <w:i/>
        </w:rPr>
        <w:t xml:space="preserve">страх </w:t>
      </w:r>
      <w:r w:rsidRPr="00B25F68">
        <w:t xml:space="preserve">перед последствиями изменений; среди групповых причин лидируют </w:t>
      </w:r>
      <w:r w:rsidRPr="00B25F68">
        <w:rPr>
          <w:i/>
        </w:rPr>
        <w:t>групповые нормы</w:t>
      </w:r>
      <w:r w:rsidRPr="00B25F68">
        <w:t xml:space="preserve"> и </w:t>
      </w:r>
      <w:r w:rsidRPr="00B25F68">
        <w:rPr>
          <w:i/>
        </w:rPr>
        <w:t>сплоченность</w:t>
      </w:r>
      <w:r w:rsidRPr="00B25F68">
        <w:t xml:space="preserve">, а среди организационных факторов наибольшее значение имеет система </w:t>
      </w:r>
      <w:r w:rsidRPr="00B25F68">
        <w:rPr>
          <w:i/>
        </w:rPr>
        <w:t>организационной</w:t>
      </w:r>
      <w:r w:rsidRPr="00B25F68">
        <w:t xml:space="preserve"> </w:t>
      </w:r>
      <w:r w:rsidRPr="00B25F68">
        <w:rPr>
          <w:i/>
        </w:rPr>
        <w:t>коммуникации.</w:t>
      </w:r>
      <w:r w:rsidRPr="00B25F68">
        <w:t xml:space="preserve"> В целом, отчетливое лидерство обнаруживается у двух причин возникновения </w:t>
      </w:r>
      <w:r w:rsidRPr="00B25F68">
        <w:lastRenderedPageBreak/>
        <w:t xml:space="preserve">сопротивления – это </w:t>
      </w:r>
      <w:r w:rsidRPr="00B25F68">
        <w:rPr>
          <w:i/>
        </w:rPr>
        <w:t>инертность</w:t>
      </w:r>
      <w:r w:rsidRPr="00B25F68">
        <w:t xml:space="preserve"> и </w:t>
      </w:r>
      <w:r w:rsidRPr="00B25F68">
        <w:rPr>
          <w:i/>
        </w:rPr>
        <w:t xml:space="preserve">несовершенная система организационной коммуникации, </w:t>
      </w:r>
      <w:r w:rsidRPr="00B25F68">
        <w:t xml:space="preserve">а наименьшее значение имеют: </w:t>
      </w:r>
      <w:r w:rsidRPr="00B25F68">
        <w:rPr>
          <w:i/>
        </w:rPr>
        <w:t>отсутствие доверия и уважения к руководству, угроза потери власти подразделения и авторитарный стиль в проведении изменений</w:t>
      </w:r>
      <w:r w:rsidRPr="00B25F68">
        <w:t>. Полученные результаты позволяют осознанно подходить к выбору методов преодоления сопротивления.</w:t>
      </w:r>
    </w:p>
    <w:p w:rsidR="006245BA" w:rsidRPr="00B25F68" w:rsidRDefault="006245BA" w:rsidP="006245BA">
      <w:pPr>
        <w:spacing w:line="360" w:lineRule="auto"/>
        <w:jc w:val="both"/>
      </w:pPr>
      <w:r w:rsidRPr="00B25F68">
        <w:t xml:space="preserve">    </w:t>
      </w:r>
      <w:r w:rsidRPr="00B25F68">
        <w:tab/>
        <w:t xml:space="preserve">Какова же сложившаяся практика деятельности </w:t>
      </w:r>
      <w:r w:rsidRPr="00B25F68">
        <w:rPr>
          <w:lang w:val="en-US"/>
        </w:rPr>
        <w:t>HR</w:t>
      </w:r>
      <w:r w:rsidRPr="00B25F68">
        <w:t>-менеджера по преодолению сопротивления организационным изменениям?   Результаты исследования показывают, что  при  управлении плановыми изменениями (нововведениями) компании HR-менеджеры чаще всего решают следующие задачи: информируют и разъясняют сотрудникам содержание нововведений (90%); контролируют ход проведения нововведений (77%); участвуют в обсуждении целесообразности и разработке плана нововведений (70%); способствуют преодолению  сопротивления организационным изменениям (60%), инициируют проведение нововведений (57%).</w:t>
      </w:r>
    </w:p>
    <w:p w:rsidR="006245BA" w:rsidRPr="00B25F68" w:rsidRDefault="006245BA" w:rsidP="006245BA">
      <w:pPr>
        <w:spacing w:line="360" w:lineRule="auto"/>
        <w:jc w:val="both"/>
      </w:pPr>
      <w:r w:rsidRPr="00B25F68">
        <w:t xml:space="preserve">       </w:t>
      </w:r>
      <w:r w:rsidRPr="00B25F68">
        <w:tab/>
        <w:t xml:space="preserve">Среди методов, используемых HR-менеджерами для преодоления индивидуальных барьеров сопротивления изменениям, выделяются следующие: специальное профессиональное обучение новым компетенциям (67%); психологическая помощь и поддержка (63%); обучение навыкам здорового образа жизни и методикам преодоления стресса (23%). Для преодоления групповых барьеров сопротивления изменения HR-менеджеры используют групповое обсуждение и дискуссии (70%); мотивационный тренинг (47%); ротацию состава подразделений и команд (40%). С целью преодоления организационных барьеров сопротивления изменениям HR-менеджеры используют разъяснение сотрудникам актуальности  организационных  изменений (87%);  контроль и принуждение к внедрению нововведений (67%); совершенствование организационных коммуникаций (63%); вовлечение сотрудников в процесс принятия решений (53%); проектирование новой структуры компании (30%); трансформацию организационной культуры (17%). </w:t>
      </w:r>
    </w:p>
    <w:p w:rsidR="006245BA" w:rsidRPr="00B25F68" w:rsidRDefault="006245BA" w:rsidP="006245BA">
      <w:pPr>
        <w:spacing w:line="360" w:lineRule="auto"/>
        <w:jc w:val="both"/>
      </w:pPr>
      <w:r w:rsidRPr="00B25F68">
        <w:t xml:space="preserve">        </w:t>
      </w:r>
      <w:r w:rsidRPr="00B25F68">
        <w:tab/>
        <w:t>Оценивая роль линейного менеджера (руководителя подразделения) в преодолении сопротивления организационным изменениям, большинство респондентов (57%) ответили, что линейный менеджер и HR-менеджер должны нести совместную ответственность на паритетных началах  за преодоление сопротивления  персонала изменениям. При этом 27% респондентов считает, что ведущая должна роль принадлежит линейному менеджеру, а вспомогательная HR-менеджеру 27% и 23% считают, что, напротив, ведущая роль должна принадлежать HR-менеджеру, а вспомогательная линейному менеджеру 23%.</w:t>
      </w:r>
    </w:p>
    <w:p w:rsidR="006245BA" w:rsidRPr="00B25F68" w:rsidRDefault="006245BA" w:rsidP="006245BA">
      <w:pPr>
        <w:pStyle w:val="p"/>
        <w:spacing w:before="0" w:beforeAutospacing="0" w:after="0" w:afterAutospacing="0" w:line="360" w:lineRule="auto"/>
        <w:rPr>
          <w:b/>
        </w:rPr>
      </w:pPr>
    </w:p>
    <w:p w:rsidR="00F27B3A" w:rsidRDefault="00F27B3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6245BA" w:rsidRPr="00B25F68" w:rsidRDefault="00F27B3A" w:rsidP="006245BA">
      <w:pPr>
        <w:pStyle w:val="p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lastRenderedPageBreak/>
        <w:t>Источники</w:t>
      </w:r>
    </w:p>
    <w:p w:rsidR="006245BA" w:rsidRPr="00B25F68" w:rsidRDefault="006245BA" w:rsidP="006245BA">
      <w:pPr>
        <w:numPr>
          <w:ilvl w:val="0"/>
          <w:numId w:val="1"/>
        </w:numPr>
        <w:spacing w:before="100" w:beforeAutospacing="1" w:after="80" w:line="360" w:lineRule="auto"/>
        <w:jc w:val="both"/>
        <w:rPr>
          <w:color w:val="000000"/>
        </w:rPr>
      </w:pPr>
      <w:r w:rsidRPr="00B25F68">
        <w:rPr>
          <w:color w:val="000000"/>
        </w:rPr>
        <w:t>Андреева Т.Е. Управление персоналом в период изменений в российских компаниях: методики рас</w:t>
      </w:r>
      <w:r w:rsidR="00F75A78">
        <w:rPr>
          <w:color w:val="000000"/>
        </w:rPr>
        <w:t xml:space="preserve">пространенные и результативные // </w:t>
      </w:r>
      <w:r w:rsidRPr="00B25F68">
        <w:rPr>
          <w:color w:val="000000"/>
        </w:rPr>
        <w:t xml:space="preserve">Российский журнал менеджмента, Том 4, № 2, 2006. С.25-48 </w:t>
      </w:r>
    </w:p>
    <w:p w:rsidR="006245BA" w:rsidRPr="00F75A78" w:rsidRDefault="006245BA" w:rsidP="005519E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>Аржирис К. Организационное научение: Пер. с англ. – М.: ИНФРА-М, 2004.</w:t>
      </w:r>
    </w:p>
    <w:p w:rsidR="006245BA" w:rsidRPr="00F75A78" w:rsidRDefault="006245BA" w:rsidP="005519E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>Бухбиндер Р.Г. Организационные изменения: проблема сопротивле</w:t>
      </w:r>
      <w:r w:rsidR="00F75A78">
        <w:rPr>
          <w:rFonts w:ascii="Times New Roman" w:hAnsi="Times New Roman"/>
          <w:sz w:val="24"/>
          <w:szCs w:val="24"/>
        </w:rPr>
        <w:t>ния персонала и пути ее решения //</w:t>
      </w:r>
      <w:r w:rsidRPr="00F75A78">
        <w:rPr>
          <w:rFonts w:ascii="Times New Roman" w:hAnsi="Times New Roman"/>
          <w:sz w:val="24"/>
          <w:szCs w:val="24"/>
        </w:rPr>
        <w:t xml:space="preserve"> Вестник Омского университета. Серия «Экономика». 2009, № 4, С.100-106 </w:t>
      </w:r>
    </w:p>
    <w:p w:rsidR="006245BA" w:rsidRPr="005519EA" w:rsidRDefault="006245BA" w:rsidP="005519E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5A78">
        <w:rPr>
          <w:rFonts w:ascii="Times New Roman" w:hAnsi="Times New Roman"/>
          <w:sz w:val="24"/>
          <w:szCs w:val="24"/>
        </w:rPr>
        <w:t xml:space="preserve">Гринберг Дж., Бэйрон Р. [Пер. с англ.: О.В.Бредихина, В.Д.Соколова]. </w:t>
      </w:r>
      <w:r w:rsidRPr="005519EA">
        <w:rPr>
          <w:rFonts w:ascii="Times New Roman" w:hAnsi="Times New Roman"/>
          <w:sz w:val="24"/>
          <w:szCs w:val="24"/>
          <w:lang w:val="en-US"/>
        </w:rPr>
        <w:t>Организационное поведение: от теории к практике. М, ООО «Вершина», 2004.</w:t>
      </w:r>
    </w:p>
    <w:p w:rsidR="006245BA" w:rsidRPr="00F75A78" w:rsidRDefault="006245BA" w:rsidP="005519E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>Дафт Р. Менеджмент. 6-е изд.: Пе</w:t>
      </w:r>
      <w:r w:rsidR="00F75A78">
        <w:rPr>
          <w:rFonts w:ascii="Times New Roman" w:hAnsi="Times New Roman"/>
          <w:sz w:val="24"/>
          <w:szCs w:val="24"/>
        </w:rPr>
        <w:t>р. с англ.  – СПб.: Питер, 2004.</w:t>
      </w:r>
    </w:p>
    <w:p w:rsidR="00F75A78" w:rsidRDefault="006245BA" w:rsidP="005519E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>Киган Р.,  Лейхи Л. Л</w:t>
      </w:r>
      <w:r w:rsidR="00F75A78" w:rsidRPr="00F75A78">
        <w:rPr>
          <w:rFonts w:ascii="Times New Roman" w:hAnsi="Times New Roman"/>
          <w:sz w:val="24"/>
          <w:szCs w:val="24"/>
        </w:rPr>
        <w:t>.</w:t>
      </w:r>
      <w:r w:rsidRPr="00F75A78">
        <w:rPr>
          <w:rFonts w:ascii="Times New Roman" w:hAnsi="Times New Roman"/>
          <w:sz w:val="24"/>
          <w:szCs w:val="24"/>
        </w:rPr>
        <w:t xml:space="preserve"> Истинная причина нелюбви к переменам / Корпоративная культура и управление изменениями: Пер. с англ.  – 2-е изд. – М.: Альпина Бизнес Букс, 2007. </w:t>
      </w:r>
    </w:p>
    <w:p w:rsidR="006245BA" w:rsidRPr="00F75A78" w:rsidRDefault="006245BA" w:rsidP="005519E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5A78">
        <w:rPr>
          <w:rFonts w:ascii="Times New Roman" w:hAnsi="Times New Roman"/>
          <w:sz w:val="24"/>
          <w:szCs w:val="24"/>
        </w:rPr>
        <w:t xml:space="preserve">Ульрих  Д. Эффективное управление персоналом: новая роль </w:t>
      </w:r>
      <w:r w:rsidRPr="00F75A78">
        <w:rPr>
          <w:rFonts w:ascii="Times New Roman" w:hAnsi="Times New Roman"/>
          <w:sz w:val="24"/>
          <w:szCs w:val="24"/>
          <w:lang w:val="en-US"/>
        </w:rPr>
        <w:t>HR</w:t>
      </w:r>
      <w:r w:rsidRPr="00F75A78">
        <w:rPr>
          <w:rFonts w:ascii="Times New Roman" w:hAnsi="Times New Roman"/>
          <w:sz w:val="24"/>
          <w:szCs w:val="24"/>
        </w:rPr>
        <w:t xml:space="preserve"> – менеджера в организации: Пер. с англ. – М.: ООО «ИД «Вильямс», 2007.</w:t>
      </w:r>
    </w:p>
    <w:p w:rsidR="006245BA" w:rsidRPr="005519EA" w:rsidRDefault="006245BA" w:rsidP="006245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75A78">
        <w:rPr>
          <w:rFonts w:ascii="Times New Roman" w:hAnsi="Times New Roman"/>
          <w:sz w:val="24"/>
          <w:szCs w:val="24"/>
        </w:rPr>
        <w:t xml:space="preserve">Фаерман М.И. Комплексный социально-психологический подход к предупреждению сопротивлений нововведениям персонала: на примере организаций малого и среднего бизнеса // Диссертация … кандидата психологических наук: 19.00.05, 19.00.03. </w:t>
      </w:r>
      <w:r w:rsidRPr="005519EA">
        <w:rPr>
          <w:rFonts w:ascii="Times New Roman" w:hAnsi="Times New Roman"/>
          <w:sz w:val="24"/>
          <w:szCs w:val="24"/>
          <w:lang w:val="en-US"/>
        </w:rPr>
        <w:t>Ярославль</w:t>
      </w:r>
      <w:r w:rsidRPr="00B25F68">
        <w:rPr>
          <w:rFonts w:ascii="Times New Roman" w:hAnsi="Times New Roman"/>
          <w:sz w:val="24"/>
          <w:szCs w:val="24"/>
          <w:lang w:val="en-US"/>
        </w:rPr>
        <w:t>, 2007. – 199</w:t>
      </w:r>
      <w:r w:rsidRPr="005519EA">
        <w:rPr>
          <w:rFonts w:ascii="Times New Roman" w:hAnsi="Times New Roman"/>
          <w:sz w:val="24"/>
          <w:szCs w:val="24"/>
          <w:lang w:val="en-US"/>
        </w:rPr>
        <w:t>с</w:t>
      </w:r>
      <w:r w:rsidRPr="00B25F68">
        <w:rPr>
          <w:rFonts w:ascii="Times New Roman" w:hAnsi="Times New Roman"/>
          <w:sz w:val="24"/>
          <w:szCs w:val="24"/>
          <w:lang w:val="en-US"/>
        </w:rPr>
        <w:t>.</w:t>
      </w:r>
    </w:p>
    <w:p w:rsidR="006245BA" w:rsidRPr="00B25F68" w:rsidRDefault="006245BA" w:rsidP="006245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 xml:space="preserve"> Bennebroek Gravenhorst, K.M., Werkman, R.A., Boonstra, J.J. (2003), “The change capacity of organizations: general assessment and five configurations, Applied Psychology: An international Review, Vol. 52, pp. 83-105</w:t>
      </w:r>
    </w:p>
    <w:p w:rsidR="006245BA" w:rsidRPr="00B25F68" w:rsidRDefault="006245BA" w:rsidP="006245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Ijaz, S. and Vitalis, A. (2011), “Resistance to organizational change: putting the jigsaw together”, International Review of Business Research Papers, Vol. 7 No. 3, pp. 112-121</w:t>
      </w:r>
    </w:p>
    <w:p w:rsidR="006245BA" w:rsidRPr="00B25F68" w:rsidRDefault="006245BA" w:rsidP="006245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Kotter, J.P. and Schlesinger, L.A. (1979), “Choosing strategies for change”, Harvard Business Review, Vol. 57, pp. 106-114</w:t>
      </w:r>
    </w:p>
    <w:p w:rsidR="006245BA" w:rsidRPr="00B25F68" w:rsidRDefault="006245BA" w:rsidP="006245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Maurer, R. (2010), “Applying what we’ve learned about change”, The Journal for Quality and Participation, Vol. 22 No. 2, pp. 35-38</w:t>
      </w:r>
    </w:p>
    <w:p w:rsidR="006245BA" w:rsidRPr="00B25F68" w:rsidRDefault="006245BA" w:rsidP="006245B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5F68">
        <w:rPr>
          <w:rFonts w:ascii="Times New Roman" w:hAnsi="Times New Roman"/>
          <w:sz w:val="24"/>
          <w:szCs w:val="24"/>
          <w:lang w:val="en-US"/>
        </w:rPr>
        <w:t>Ijaz, S. and Vitalis, A. (2011), “Resistance to organizational change: putting the jigsaw together”, International Review of Business Research Papers, Vol. 7 No. 3, pp. 112-121</w:t>
      </w:r>
    </w:p>
    <w:p w:rsidR="006245BA" w:rsidRPr="00B25F68" w:rsidRDefault="006245BA" w:rsidP="006245BA">
      <w:pPr>
        <w:spacing w:line="360" w:lineRule="auto"/>
        <w:rPr>
          <w:lang w:val="en-US"/>
        </w:rPr>
      </w:pPr>
    </w:p>
    <w:p w:rsidR="00F20549" w:rsidRPr="00B25F68" w:rsidRDefault="00F20549">
      <w:pPr>
        <w:rPr>
          <w:lang w:val="en-US"/>
        </w:rPr>
      </w:pPr>
    </w:p>
    <w:sectPr w:rsidR="00F20549" w:rsidRPr="00B25F68" w:rsidSect="00B87C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25" w:rsidRDefault="000F5A25" w:rsidP="006245BA">
      <w:r>
        <w:separator/>
      </w:r>
    </w:p>
  </w:endnote>
  <w:endnote w:type="continuationSeparator" w:id="1">
    <w:p w:rsidR="000F5A25" w:rsidRDefault="000F5A25" w:rsidP="0062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25" w:rsidRDefault="000F5A25" w:rsidP="006245BA">
      <w:r>
        <w:separator/>
      </w:r>
    </w:p>
  </w:footnote>
  <w:footnote w:type="continuationSeparator" w:id="1">
    <w:p w:rsidR="000F5A25" w:rsidRDefault="000F5A25" w:rsidP="006245BA">
      <w:r>
        <w:continuationSeparator/>
      </w:r>
    </w:p>
  </w:footnote>
  <w:footnote w:id="2">
    <w:p w:rsidR="006245BA" w:rsidRDefault="006245BA" w:rsidP="006245BA">
      <w:pPr>
        <w:pStyle w:val="a4"/>
      </w:pPr>
      <w:r>
        <w:rPr>
          <w:rStyle w:val="a6"/>
        </w:rPr>
        <w:footnoteRef/>
      </w:r>
      <w:r>
        <w:t xml:space="preserve"> </w:t>
      </w:r>
      <w:r w:rsidRPr="00C461DB">
        <w:rPr>
          <w:i/>
        </w:rPr>
        <w:t xml:space="preserve">Исследование выполняется  </w:t>
      </w:r>
      <w:r>
        <w:rPr>
          <w:i/>
        </w:rPr>
        <w:t>при поддержке п</w:t>
      </w:r>
      <w:r w:rsidRPr="00C461DB">
        <w:rPr>
          <w:i/>
        </w:rPr>
        <w:t xml:space="preserve">рограммы «Научный фонд НИУ ВШЭ»,  проект №13 – 05 – 0030 «Сопротивление организационным изменениям и способы его преодоления в деятельности </w:t>
      </w:r>
      <w:r w:rsidRPr="00C461DB">
        <w:rPr>
          <w:i/>
          <w:lang w:val="en-US"/>
        </w:rPr>
        <w:t>HR</w:t>
      </w:r>
      <w:r w:rsidRPr="00C461DB">
        <w:rPr>
          <w:i/>
        </w:rPr>
        <w:t xml:space="preserve"> – менеджера»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0CCA"/>
    <w:multiLevelType w:val="hybridMultilevel"/>
    <w:tmpl w:val="34C86E0E"/>
    <w:lvl w:ilvl="0" w:tplc="6E7AD0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BA"/>
    <w:rsid w:val="000F5A25"/>
    <w:rsid w:val="0017750B"/>
    <w:rsid w:val="00182957"/>
    <w:rsid w:val="00403F26"/>
    <w:rsid w:val="005202B9"/>
    <w:rsid w:val="005519EA"/>
    <w:rsid w:val="006245BA"/>
    <w:rsid w:val="00AC3521"/>
    <w:rsid w:val="00B25F68"/>
    <w:rsid w:val="00C12366"/>
    <w:rsid w:val="00F20549"/>
    <w:rsid w:val="00F27B3A"/>
    <w:rsid w:val="00F75A78"/>
    <w:rsid w:val="00FE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245B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245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62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245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5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5B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5F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Лист1!$A$2:$H$2</c:f>
              <c:strCache>
                <c:ptCount val="7"/>
                <c:pt idx="0">
                  <c:v>макс. низкая</c:v>
                </c:pt>
                <c:pt idx="1">
                  <c:v>низкая</c:v>
                </c:pt>
                <c:pt idx="2">
                  <c:v>ниже среднего</c:v>
                </c:pt>
                <c:pt idx="3">
                  <c:v>средняя</c:v>
                </c:pt>
                <c:pt idx="4">
                  <c:v>выше среднего</c:v>
                </c:pt>
                <c:pt idx="5">
                  <c:v>высокая</c:v>
                </c:pt>
                <c:pt idx="6">
                  <c:v>макс. высокая</c:v>
                </c:pt>
              </c:strCache>
            </c:strRef>
          </c:cat>
          <c:val>
            <c:numRef>
              <c:f>Лист1!$A$1:$G$1</c:f>
              <c:numCache>
                <c:formatCode>General</c:formatCode>
                <c:ptCount val="7"/>
                <c:pt idx="0">
                  <c:v>3.3</c:v>
                </c:pt>
                <c:pt idx="1">
                  <c:v>6.7</c:v>
                </c:pt>
                <c:pt idx="2">
                  <c:v>26.7</c:v>
                </c:pt>
                <c:pt idx="3">
                  <c:v>36.700000000000003</c:v>
                </c:pt>
                <c:pt idx="4">
                  <c:v>13.3</c:v>
                </c:pt>
                <c:pt idx="5">
                  <c:v>10</c:v>
                </c:pt>
                <c:pt idx="6">
                  <c:v>3.3</c:v>
                </c:pt>
              </c:numCache>
            </c:numRef>
          </c:val>
        </c:ser>
        <c:shape val="box"/>
        <c:axId val="55419648"/>
        <c:axId val="55421184"/>
        <c:axId val="0"/>
      </c:bar3DChart>
      <c:catAx>
        <c:axId val="55419648"/>
        <c:scaling>
          <c:orientation val="minMax"/>
        </c:scaling>
        <c:axPos val="b"/>
        <c:tickLblPos val="nextTo"/>
        <c:crossAx val="55421184"/>
        <c:crosses val="autoZero"/>
        <c:auto val="1"/>
        <c:lblAlgn val="ctr"/>
        <c:lblOffset val="100"/>
      </c:catAx>
      <c:valAx>
        <c:axId val="55421184"/>
        <c:scaling>
          <c:orientation val="minMax"/>
        </c:scaling>
        <c:axPos val="l"/>
        <c:majorGridlines/>
        <c:numFmt formatCode="General" sourceLinked="1"/>
        <c:tickLblPos val="nextTo"/>
        <c:crossAx val="5541964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2013-09-18T15:35:00Z</dcterms:created>
  <dcterms:modified xsi:type="dcterms:W3CDTF">2013-09-19T10:08:00Z</dcterms:modified>
</cp:coreProperties>
</file>