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5B" w:rsidRPr="009362FB" w:rsidRDefault="0095495B" w:rsidP="0095495B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555555"/>
          <w:sz w:val="28"/>
          <w:szCs w:val="28"/>
        </w:rPr>
      </w:pPr>
    </w:p>
    <w:p w:rsidR="0095495B" w:rsidRDefault="002B2A92" w:rsidP="0095495B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Моделирование общего равновесия российской экономики с учетом гетерогенности экономических агентов</w:t>
      </w:r>
    </w:p>
    <w:p w:rsidR="0095495B" w:rsidRDefault="0095495B" w:rsidP="008F1BD8">
      <w:pPr>
        <w:pStyle w:val="KATE"/>
        <w:ind w:firstLine="0"/>
      </w:pPr>
    </w:p>
    <w:p w:rsidR="00D244BC" w:rsidRPr="008576F5" w:rsidRDefault="00D244BC" w:rsidP="0095495B">
      <w:pPr>
        <w:pStyle w:val="KATE"/>
        <w:spacing w:line="240" w:lineRule="auto"/>
      </w:pPr>
      <w:r>
        <w:t>Предлагаемая модель основана</w:t>
      </w:r>
      <w:r w:rsidRPr="00F25E39">
        <w:t xml:space="preserve"> на работах</w:t>
      </w:r>
      <w:r>
        <w:t xml:space="preserve"> Л. </w:t>
      </w:r>
      <w:proofErr w:type="spellStart"/>
      <w:r>
        <w:t>Кристиано</w:t>
      </w:r>
      <w:proofErr w:type="spellEnd"/>
      <w:r>
        <w:t>, М. Эйхенбаума, Ч. Эванса</w:t>
      </w:r>
      <w:r w:rsidRPr="00F25E39">
        <w:t xml:space="preserve"> </w:t>
      </w:r>
      <w:r w:rsidR="00EC4444" w:rsidRPr="00EC4444">
        <w:t>[</w:t>
      </w:r>
      <w:r w:rsidR="00294F39">
        <w:t>5</w:t>
      </w:r>
      <w:r w:rsidR="00EC4444" w:rsidRPr="00EC4444">
        <w:t>]</w:t>
      </w:r>
      <w:r>
        <w:t>,</w:t>
      </w:r>
      <w:r w:rsidRPr="00F25E39">
        <w:t xml:space="preserve"> </w:t>
      </w:r>
      <w:r>
        <w:t xml:space="preserve">Ф. </w:t>
      </w:r>
      <w:proofErr w:type="spellStart"/>
      <w:r>
        <w:t>Сметса</w:t>
      </w:r>
      <w:proofErr w:type="spellEnd"/>
      <w:r>
        <w:t xml:space="preserve"> и Р. </w:t>
      </w:r>
      <w:proofErr w:type="spellStart"/>
      <w:r>
        <w:t>Воутерса</w:t>
      </w:r>
      <w:proofErr w:type="spellEnd"/>
      <w:r w:rsidRPr="00F25E39">
        <w:t xml:space="preserve"> </w:t>
      </w:r>
      <w:r w:rsidR="00EC4444" w:rsidRPr="00EC4444">
        <w:t>[</w:t>
      </w:r>
      <w:r w:rsidR="00294F39">
        <w:t>11</w:t>
      </w:r>
      <w:r w:rsidR="00EC4444" w:rsidRPr="00EC4444">
        <w:t>]</w:t>
      </w:r>
      <w:r w:rsidRPr="00F25E39">
        <w:t xml:space="preserve">, </w:t>
      </w:r>
      <w:r>
        <w:t xml:space="preserve">элементы отрытой экономики моделируются на основе работ Д. Гали, Т. </w:t>
      </w:r>
      <w:proofErr w:type="spellStart"/>
      <w:proofErr w:type="gramStart"/>
      <w:r>
        <w:t>Моначелли</w:t>
      </w:r>
      <w:proofErr w:type="spellEnd"/>
      <w:r w:rsidR="00EC4444">
        <w:t xml:space="preserve"> </w:t>
      </w:r>
      <w:r w:rsidR="00EC4444" w:rsidRPr="00EC4444">
        <w:t xml:space="preserve"> [</w:t>
      </w:r>
      <w:proofErr w:type="gramEnd"/>
      <w:r w:rsidR="00294F39">
        <w:t>6</w:t>
      </w:r>
      <w:r w:rsidR="00EC4444" w:rsidRPr="00EC4444">
        <w:t>]</w:t>
      </w:r>
      <w:r w:rsidR="00EC4444">
        <w:t xml:space="preserve">, Р. </w:t>
      </w:r>
      <w:proofErr w:type="spellStart"/>
      <w:r w:rsidR="00EC4444">
        <w:t>Кольмана</w:t>
      </w:r>
      <w:proofErr w:type="spellEnd"/>
      <w:r>
        <w:t xml:space="preserve"> </w:t>
      </w:r>
      <w:r w:rsidR="00EC4444" w:rsidRPr="00EC4444">
        <w:t>[</w:t>
      </w:r>
      <w:r w:rsidR="00294F39">
        <w:t>8</w:t>
      </w:r>
      <w:r w:rsidR="00EC4444" w:rsidRPr="00EC4444">
        <w:t>]</w:t>
      </w:r>
      <w:r>
        <w:t>.</w:t>
      </w:r>
    </w:p>
    <w:p w:rsidR="00D244BC" w:rsidRDefault="00D244BC" w:rsidP="0095495B">
      <w:pPr>
        <w:pStyle w:val="KATE"/>
        <w:spacing w:line="240" w:lineRule="auto"/>
      </w:pPr>
      <w:r>
        <w:t xml:space="preserve">Моделируется </w:t>
      </w:r>
      <w:r w:rsidRPr="00F25E39">
        <w:t>мал</w:t>
      </w:r>
      <w:r>
        <w:t>ая открытая экономика с шестью отечественными эко</w:t>
      </w:r>
      <w:r w:rsidRPr="00F25E39">
        <w:t>номическими агентами: домохозяйства;</w:t>
      </w:r>
      <w:bookmarkStart w:id="0" w:name="_GoBack"/>
      <w:bookmarkEnd w:id="0"/>
      <w:r w:rsidRPr="00F25E39">
        <w:t xml:space="preserve"> </w:t>
      </w:r>
      <w:r>
        <w:t>фирмы,</w:t>
      </w:r>
      <w:r w:rsidRPr="00F25E39">
        <w:t xml:space="preserve"> производящие</w:t>
      </w:r>
      <w:r>
        <w:t xml:space="preserve"> </w:t>
      </w:r>
      <w:r w:rsidRPr="00F25E39">
        <w:t>товар</w:t>
      </w:r>
      <w:r>
        <w:t xml:space="preserve"> конечного потребления;</w:t>
      </w:r>
      <w:r w:rsidR="008F1BD8">
        <w:t xml:space="preserve"> </w:t>
      </w:r>
      <w:r w:rsidRPr="00F25E39">
        <w:t>фирмы, производящие</w:t>
      </w:r>
      <w:r>
        <w:t xml:space="preserve"> отечественные промежуточные то</w:t>
      </w:r>
      <w:r w:rsidRPr="00F25E39">
        <w:t>вар</w:t>
      </w:r>
      <w:r>
        <w:t>ы</w:t>
      </w:r>
      <w:r w:rsidRPr="00F25E39">
        <w:t xml:space="preserve">; </w:t>
      </w:r>
      <w:r>
        <w:t xml:space="preserve">фирмы, </w:t>
      </w:r>
      <w:r w:rsidRPr="00F25E39">
        <w:t xml:space="preserve">импортирующие </w:t>
      </w:r>
      <w:r>
        <w:t>товары из-за границы</w:t>
      </w:r>
      <w:r w:rsidRPr="00F25E39">
        <w:t>;</w:t>
      </w:r>
      <w:r w:rsidR="008F1BD8">
        <w:t xml:space="preserve"> </w:t>
      </w:r>
      <w:r>
        <w:t>фирмы, экспортирующие товары за границу</w:t>
      </w:r>
      <w:r w:rsidRPr="00230369">
        <w:t>;</w:t>
      </w:r>
      <w:r w:rsidR="008F1BD8">
        <w:t xml:space="preserve"> </w:t>
      </w:r>
      <w:r>
        <w:t>Ц</w:t>
      </w:r>
      <w:r w:rsidRPr="00F25E39">
        <w:t xml:space="preserve">ентральный банк. </w:t>
      </w:r>
    </w:p>
    <w:p w:rsidR="00D244BC" w:rsidRPr="001E11A5" w:rsidRDefault="00D244BC" w:rsidP="0095495B">
      <w:pPr>
        <w:pStyle w:val="KATE"/>
        <w:spacing w:line="240" w:lineRule="auto"/>
      </w:pPr>
      <w:r>
        <w:t xml:space="preserve">Домохозяйства в модели </w:t>
      </w:r>
      <w:r w:rsidRPr="001E11A5">
        <w:t>максимизируют свое благосостояние</w:t>
      </w:r>
      <w:r>
        <w:t xml:space="preserve"> при условии бюджетного ограничения</w:t>
      </w:r>
      <w:r w:rsidRPr="001E11A5">
        <w:t>, фирмы</w:t>
      </w:r>
      <w:r>
        <w:t xml:space="preserve"> максимизируют прибыль с учетом издержек, поведение Центрального банка моделируется с помощью правила монетарной политики. Особенностью модели является включение номинальных и реальных жесткостей, которые будут подробно описаны позднее. Кроме того, для целей исследования в модели особенное внимание уделено спецификации внешнего сектора.</w:t>
      </w:r>
    </w:p>
    <w:p w:rsidR="00D244BC" w:rsidRDefault="00D244BC" w:rsidP="0095495B">
      <w:pPr>
        <w:pStyle w:val="KATE"/>
        <w:spacing w:line="240" w:lineRule="auto"/>
      </w:pPr>
      <w:r>
        <w:t>Предложенная спецификация предполагает в</w:t>
      </w:r>
      <w:r w:rsidRPr="00841131">
        <w:t>ключение импортного сектора как сектора промежуточн</w:t>
      </w:r>
      <w:r>
        <w:t>ых товаров без описания функции</w:t>
      </w:r>
      <w:r w:rsidRPr="00841131">
        <w:t xml:space="preserve"> производства</w:t>
      </w:r>
      <w:r>
        <w:t xml:space="preserve">. Как было отмечено ранее, это достаточно простой способ учета валютного курса в издержках производителей товаров конечного потребления. Данная спецификация используется и другими авторами при описании российской экономики, например, в </w:t>
      </w:r>
      <w:proofErr w:type="gramStart"/>
      <w:r>
        <w:t xml:space="preserve">работах </w:t>
      </w:r>
      <w:r w:rsidR="00EC4444">
        <w:t xml:space="preserve"> Р.</w:t>
      </w:r>
      <w:proofErr w:type="gramEnd"/>
      <w:r w:rsidR="00EC4444">
        <w:t xml:space="preserve"> Семко </w:t>
      </w:r>
      <w:r w:rsidR="00EC4444" w:rsidRPr="00EC4444">
        <w:t>[</w:t>
      </w:r>
      <w:r w:rsidR="00294F39">
        <w:t>10</w:t>
      </w:r>
      <w:r w:rsidR="00EC4444" w:rsidRPr="00EC4444">
        <w:t>]</w:t>
      </w:r>
      <w:r>
        <w:t xml:space="preserve">, </w:t>
      </w:r>
      <w:r w:rsidR="00EC4444">
        <w:t xml:space="preserve">О. </w:t>
      </w:r>
      <w:proofErr w:type="spellStart"/>
      <w:r w:rsidR="00EC4444">
        <w:t>Малаховской</w:t>
      </w:r>
      <w:proofErr w:type="spellEnd"/>
      <w:r w:rsidR="00EC4444">
        <w:t xml:space="preserve"> и С.</w:t>
      </w:r>
      <w:r>
        <w:t xml:space="preserve"> </w:t>
      </w:r>
      <w:proofErr w:type="spellStart"/>
      <w:r>
        <w:t>Минабутдинов</w:t>
      </w:r>
      <w:r w:rsidR="00EC4444">
        <w:t>а</w:t>
      </w:r>
      <w:proofErr w:type="spellEnd"/>
      <w:r>
        <w:t xml:space="preserve"> </w:t>
      </w:r>
      <w:r w:rsidR="00EC4444" w:rsidRPr="00EC4444">
        <w:t>[</w:t>
      </w:r>
      <w:r w:rsidR="00294F39">
        <w:t>9</w:t>
      </w:r>
      <w:r w:rsidR="00EC4444" w:rsidRPr="00EC4444">
        <w:t>]</w:t>
      </w:r>
      <w:r>
        <w:t xml:space="preserve">, </w:t>
      </w:r>
      <w:r w:rsidR="00EC4444">
        <w:t xml:space="preserve">А. </w:t>
      </w:r>
      <w:r>
        <w:t>Шульгин</w:t>
      </w:r>
      <w:r w:rsidR="00EC4444">
        <w:t xml:space="preserve">а </w:t>
      </w:r>
      <w:r w:rsidR="00EC4444" w:rsidRPr="00EC4444">
        <w:t>[</w:t>
      </w:r>
      <w:r w:rsidR="00294F39">
        <w:t>4</w:t>
      </w:r>
      <w:r w:rsidR="00EC4444" w:rsidRPr="00EC4444">
        <w:t>]</w:t>
      </w:r>
      <w:r>
        <w:t xml:space="preserve">,  </w:t>
      </w:r>
      <w:r w:rsidR="00EC4444">
        <w:t xml:space="preserve">А. </w:t>
      </w:r>
      <w:proofErr w:type="spellStart"/>
      <w:r>
        <w:t>Полбин</w:t>
      </w:r>
      <w:r w:rsidR="00EC4444">
        <w:t>а</w:t>
      </w:r>
      <w:proofErr w:type="spellEnd"/>
      <w:r>
        <w:t xml:space="preserve"> </w:t>
      </w:r>
      <w:r w:rsidR="00EC4444" w:rsidRPr="00EC4444">
        <w:t>[</w:t>
      </w:r>
      <w:r w:rsidR="00294F39">
        <w:t>3</w:t>
      </w:r>
      <w:r w:rsidR="00EC4444" w:rsidRPr="00EC4444">
        <w:t>]</w:t>
      </w:r>
      <w:r>
        <w:t>.</w:t>
      </w:r>
    </w:p>
    <w:p w:rsidR="00D244BC" w:rsidRDefault="00D244BC" w:rsidP="0095495B">
      <w:pPr>
        <w:pStyle w:val="KATE"/>
        <w:spacing w:line="240" w:lineRule="auto"/>
      </w:pPr>
      <w:r>
        <w:t xml:space="preserve">Экспортный сектор формируется через производство промежуточных товаров и отдельно </w:t>
      </w:r>
      <w:r w:rsidRPr="00F25E39">
        <w:t>моделируется</w:t>
      </w:r>
      <w:r>
        <w:t xml:space="preserve"> сырьевой экспорт</w:t>
      </w:r>
      <w:r w:rsidRPr="00F25E39">
        <w:t xml:space="preserve"> как экзогенна</w:t>
      </w:r>
      <w:r>
        <w:t>я переменная – чистый доход домохозяйств от продажи природных ресурсов по экзогенной цене</w:t>
      </w:r>
      <w:r w:rsidRPr="00F25E39">
        <w:t xml:space="preserve">. </w:t>
      </w:r>
      <w:r>
        <w:t xml:space="preserve">Аргументом для такой спецификации является тот факт, что в составе российского экспорта преобладают природные ресурсы – нефть, газ и другие сырьевые товары. Из-за неэластичности добычи по цене в краткосрочном периоде, описание функции производства для этой группы товаров не улучшит объясняющую способность модели. С другой стороны, введение экспортных доходов как экзогенной переменной позволяет моделировать влияние изменения цен на энергоносители как через платежный баланс, так и через прямое влияние на доходы домохозяйств. </w:t>
      </w:r>
    </w:p>
    <w:p w:rsidR="00D244BC" w:rsidRPr="00901099" w:rsidRDefault="00D244BC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80">
        <w:rPr>
          <w:rFonts w:ascii="Times New Roman" w:hAnsi="Times New Roman"/>
          <w:sz w:val="28"/>
          <w:szCs w:val="28"/>
        </w:rPr>
        <w:t>При описании правила монетарной</w:t>
      </w:r>
      <w:r>
        <w:rPr>
          <w:rFonts w:ascii="Times New Roman" w:hAnsi="Times New Roman"/>
          <w:sz w:val="28"/>
          <w:szCs w:val="28"/>
        </w:rPr>
        <w:t xml:space="preserve"> политики преследуется цель с использованием простого правила учесть эндогенную роль международных резервов в механизме формирования валютного курса. </w:t>
      </w:r>
      <w:r w:rsidR="004F67A2">
        <w:rPr>
          <w:rFonts w:ascii="Times New Roman" w:hAnsi="Times New Roman"/>
          <w:sz w:val="28"/>
          <w:szCs w:val="28"/>
        </w:rPr>
        <w:t>За основу м</w:t>
      </w:r>
      <w:r w:rsidRPr="00901099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берем </w:t>
      </w:r>
      <w:r w:rsidRPr="00901099">
        <w:rPr>
          <w:rFonts w:ascii="Times New Roman" w:hAnsi="Times New Roman"/>
          <w:sz w:val="28"/>
          <w:szCs w:val="28"/>
        </w:rPr>
        <w:t>правило корректировки валютного коридора в зависим</w:t>
      </w:r>
      <w:r>
        <w:rPr>
          <w:rFonts w:ascii="Times New Roman" w:hAnsi="Times New Roman"/>
          <w:sz w:val="28"/>
          <w:szCs w:val="28"/>
        </w:rPr>
        <w:t xml:space="preserve">ости от объема интервенций. </w:t>
      </w:r>
      <w:r w:rsidRPr="00901099">
        <w:rPr>
          <w:rFonts w:ascii="Times New Roman" w:hAnsi="Times New Roman"/>
          <w:sz w:val="28"/>
          <w:szCs w:val="28"/>
        </w:rPr>
        <w:t xml:space="preserve">Связь данных переменных характерна для промежуточного </w:t>
      </w:r>
      <w:r w:rsidRPr="00901099">
        <w:rPr>
          <w:rFonts w:ascii="Times New Roman" w:hAnsi="Times New Roman"/>
          <w:sz w:val="28"/>
          <w:szCs w:val="28"/>
        </w:rPr>
        <w:lastRenderedPageBreak/>
        <w:t xml:space="preserve">режима валютного курса, который наблюдался в России в </w:t>
      </w:r>
      <w:r>
        <w:rPr>
          <w:rFonts w:ascii="Times New Roman" w:hAnsi="Times New Roman"/>
          <w:sz w:val="28"/>
          <w:szCs w:val="28"/>
        </w:rPr>
        <w:t>анализируемый</w:t>
      </w:r>
      <w:r w:rsidRPr="00901099">
        <w:rPr>
          <w:rFonts w:ascii="Times New Roman" w:hAnsi="Times New Roman"/>
          <w:sz w:val="28"/>
          <w:szCs w:val="28"/>
        </w:rPr>
        <w:t xml:space="preserve"> период.</w:t>
      </w:r>
    </w:p>
    <w:p w:rsidR="00D244BC" w:rsidRDefault="00D244BC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Записываем правило в терминах отклонения от стационарного состояния:</w:t>
      </w:r>
    </w:p>
    <w:p w:rsidR="00D244BC" w:rsidRPr="00901099" w:rsidRDefault="00D244BC" w:rsidP="00954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88B">
        <w:rPr>
          <w:rFonts w:ascii="Times New Roman" w:hAnsi="Times New Roman"/>
          <w:position w:val="-24"/>
          <w:sz w:val="28"/>
          <w:szCs w:val="28"/>
        </w:rPr>
        <w:object w:dxaOrig="2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1pt" o:ole="">
            <v:imagedata r:id="rId5" o:title=""/>
          </v:shape>
          <o:OLEObject Type="Embed" ProgID="Equation.3" ShapeID="_x0000_i1025" DrawAspect="Content" ObjectID="_1541884061" r:id="rId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="004F67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D244BC" w:rsidRDefault="00D244BC" w:rsidP="0095495B">
      <w:pPr>
        <w:widowControl w:val="0"/>
        <w:tabs>
          <w:tab w:val="center" w:pos="4535"/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99">
        <w:rPr>
          <w:rFonts w:ascii="Times New Roman" w:hAnsi="Times New Roman"/>
          <w:sz w:val="28"/>
          <w:szCs w:val="28"/>
        </w:rPr>
        <w:tab/>
        <w:t>где</w:t>
      </w:r>
      <w:r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9D69B3">
        <w:rPr>
          <w:position w:val="-6"/>
        </w:rPr>
        <w:object w:dxaOrig="220" w:dyaOrig="340">
          <v:shape id="_x0000_i1026" type="#_x0000_t75" style="width:10.5pt;height:15.5pt" o:ole="">
            <v:imagedata r:id="rId7" o:title=""/>
          </v:shape>
          <o:OLEObject Type="Embed" ProgID="Equation.3" ShapeID="_x0000_i1026" DrawAspect="Content" ObjectID="_1541884062" r:id="rId8"/>
        </w:object>
      </w:r>
      <w:r>
        <w:t xml:space="preserve">, </w:t>
      </w:r>
      <w:r w:rsidRPr="00643550">
        <w:rPr>
          <w:position w:val="-4"/>
        </w:rPr>
        <w:object w:dxaOrig="320" w:dyaOrig="320">
          <v:shape id="_x0000_i1027" type="#_x0000_t75" style="width:15.5pt;height:15.5pt" o:ole="">
            <v:imagedata r:id="rId9" o:title=""/>
          </v:shape>
          <o:OLEObject Type="Embed" ProgID="Equation.3" ShapeID="_x0000_i1027" DrawAspect="Content" ObjectID="_1541884063" r:id="rId10"/>
        </w:object>
      </w:r>
      <w:r>
        <w:t xml:space="preserve"> </w:t>
      </w:r>
      <w:r w:rsidRPr="00901099">
        <w:rPr>
          <w:rFonts w:ascii="Times New Roman" w:hAnsi="Times New Roman"/>
          <w:sz w:val="28"/>
          <w:szCs w:val="28"/>
        </w:rPr>
        <w:t>– стационарные значения валютного курса и международных резервов соответственно</w:t>
      </w:r>
      <w:r w:rsidR="00EC4444">
        <w:rPr>
          <w:rFonts w:ascii="Times New Roman" w:hAnsi="Times New Roman"/>
          <w:sz w:val="28"/>
          <w:szCs w:val="28"/>
        </w:rPr>
        <w:t xml:space="preserve">, </w:t>
      </w:r>
      <w:r w:rsidR="00FC621C" w:rsidRPr="00EC4444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28" type="#_x0000_t75" style="width:12pt;height:13pt" o:ole="">
            <v:imagedata r:id="rId11" o:title=""/>
          </v:shape>
          <o:OLEObject Type="Embed" ProgID="Equation.3" ShapeID="_x0000_i1028" DrawAspect="Content" ObjectID="_1541884064" r:id="rId12"/>
        </w:object>
      </w:r>
      <w:r w:rsidR="00EC4444" w:rsidRPr="00EC4444">
        <w:rPr>
          <w:rFonts w:ascii="Times New Roman" w:hAnsi="Times New Roman"/>
          <w:sz w:val="28"/>
          <w:szCs w:val="28"/>
        </w:rPr>
        <w:t xml:space="preserve"> - параметр политики Центрального банка</w:t>
      </w:r>
      <w:r w:rsidR="00EC4444">
        <w:rPr>
          <w:rFonts w:ascii="Times New Roman" w:hAnsi="Times New Roman"/>
          <w:sz w:val="28"/>
          <w:szCs w:val="28"/>
        </w:rPr>
        <w:t>,</w:t>
      </w:r>
    </w:p>
    <w:p w:rsidR="00D244BC" w:rsidRPr="00901099" w:rsidRDefault="00D244BC" w:rsidP="00954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4726">
        <w:rPr>
          <w:rFonts w:ascii="Times New Roman" w:hAnsi="Times New Roman"/>
          <w:position w:val="-12"/>
          <w:sz w:val="28"/>
          <w:szCs w:val="28"/>
        </w:rPr>
        <w:object w:dxaOrig="1640" w:dyaOrig="380">
          <v:shape id="_x0000_i1029" type="#_x0000_t75" style="width:82.5pt;height:20.5pt" o:ole="">
            <v:imagedata r:id="rId13" o:title=""/>
          </v:shape>
          <o:OLEObject Type="Embed" ProgID="Equation.3" ShapeID="_x0000_i1029" DrawAspect="Content" ObjectID="_1541884065" r:id="rId14"/>
        </w:object>
      </w:r>
      <w:r w:rsidRPr="003847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67A2">
        <w:rPr>
          <w:rFonts w:ascii="Times New Roman" w:hAnsi="Times New Roman"/>
          <w:sz w:val="28"/>
          <w:szCs w:val="28"/>
        </w:rPr>
        <w:t>(2</w:t>
      </w:r>
      <w:r w:rsidRPr="00384726">
        <w:rPr>
          <w:rFonts w:ascii="Times New Roman" w:hAnsi="Times New Roman"/>
          <w:sz w:val="28"/>
          <w:szCs w:val="28"/>
        </w:rPr>
        <w:t>)</w:t>
      </w:r>
    </w:p>
    <w:p w:rsidR="00D244BC" w:rsidRDefault="00D244BC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динамика номинального валютного курса связана с изменением запаса международных резервов и подвержена экзогенному влиянию шока монетарной политики.</w:t>
      </w:r>
    </w:p>
    <w:p w:rsidR="0046492E" w:rsidRPr="0081280C" w:rsidRDefault="0046492E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178">
        <w:rPr>
          <w:rFonts w:ascii="Times New Roman" w:hAnsi="Times New Roman"/>
          <w:sz w:val="28"/>
          <w:szCs w:val="28"/>
        </w:rPr>
        <w:t xml:space="preserve">Решение модели в линейной форме выполнено в системе </w:t>
      </w:r>
      <w:proofErr w:type="spellStart"/>
      <w:r w:rsidRPr="00540178">
        <w:rPr>
          <w:rFonts w:ascii="Times New Roman" w:hAnsi="Times New Roman"/>
          <w:sz w:val="28"/>
          <w:szCs w:val="28"/>
          <w:lang w:val="en-US"/>
        </w:rPr>
        <w:t>Matlab</w:t>
      </w:r>
      <w:proofErr w:type="spellEnd"/>
      <w:r w:rsidRPr="00540178">
        <w:rPr>
          <w:rFonts w:ascii="Times New Roman" w:hAnsi="Times New Roman"/>
          <w:sz w:val="28"/>
          <w:szCs w:val="28"/>
        </w:rPr>
        <w:t xml:space="preserve">, приложении </w:t>
      </w:r>
      <w:proofErr w:type="spellStart"/>
      <w:r w:rsidRPr="00540178">
        <w:rPr>
          <w:rFonts w:ascii="Times New Roman" w:hAnsi="Times New Roman"/>
          <w:sz w:val="28"/>
          <w:szCs w:val="28"/>
          <w:lang w:val="en-US"/>
        </w:rPr>
        <w:t>Dynare</w:t>
      </w:r>
      <w:proofErr w:type="spellEnd"/>
      <w:r w:rsidRPr="00540178">
        <w:rPr>
          <w:rFonts w:ascii="Times New Roman" w:hAnsi="Times New Roman"/>
          <w:sz w:val="28"/>
          <w:szCs w:val="28"/>
        </w:rPr>
        <w:t>.</w:t>
      </w:r>
    </w:p>
    <w:p w:rsidR="00D244BC" w:rsidRPr="00756741" w:rsidRDefault="0046492E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эконометрического тестирования была проведена калибровка некоторых параметров модели.</w:t>
      </w:r>
      <w:r>
        <w:t xml:space="preserve"> Основная часть параметров калибруется по аналогии с </w:t>
      </w:r>
      <w:r w:rsidRPr="00756741">
        <w:rPr>
          <w:rFonts w:ascii="Times New Roman" w:hAnsi="Times New Roman"/>
          <w:sz w:val="28"/>
          <w:szCs w:val="28"/>
        </w:rPr>
        <w:t>работами российских авторов (</w:t>
      </w:r>
      <w:proofErr w:type="spellStart"/>
      <w:r w:rsidRPr="00AD2CE2">
        <w:rPr>
          <w:rFonts w:ascii="Times New Roman" w:hAnsi="Times New Roman"/>
          <w:sz w:val="28"/>
          <w:szCs w:val="28"/>
        </w:rPr>
        <w:t>Малаховская</w:t>
      </w:r>
      <w:proofErr w:type="spellEnd"/>
      <w:r w:rsidRPr="00AD2C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2CE2">
        <w:rPr>
          <w:rFonts w:ascii="Times New Roman" w:hAnsi="Times New Roman"/>
          <w:sz w:val="28"/>
          <w:szCs w:val="28"/>
        </w:rPr>
        <w:t>Минабутдинов</w:t>
      </w:r>
      <w:proofErr w:type="spellEnd"/>
      <w:r w:rsidRPr="00AD2CE2">
        <w:rPr>
          <w:rFonts w:ascii="Times New Roman" w:hAnsi="Times New Roman"/>
          <w:sz w:val="28"/>
          <w:szCs w:val="28"/>
        </w:rPr>
        <w:t>, 2013</w:t>
      </w:r>
      <w:r>
        <w:rPr>
          <w:rFonts w:ascii="Times New Roman" w:hAnsi="Times New Roman"/>
          <w:sz w:val="28"/>
          <w:szCs w:val="28"/>
        </w:rPr>
        <w:t>, Шульгин, 2013</w:t>
      </w:r>
      <w:r w:rsidRPr="0075674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Полбин</w:t>
      </w:r>
      <w:proofErr w:type="spellEnd"/>
      <w:r>
        <w:rPr>
          <w:rFonts w:ascii="Times New Roman" w:hAnsi="Times New Roman"/>
          <w:sz w:val="28"/>
          <w:szCs w:val="28"/>
        </w:rPr>
        <w:t>, 2014</w:t>
      </w:r>
      <w:r w:rsidRPr="00756741">
        <w:rPr>
          <w:rFonts w:ascii="Times New Roman" w:hAnsi="Times New Roman"/>
          <w:sz w:val="28"/>
          <w:szCs w:val="28"/>
        </w:rPr>
        <w:t xml:space="preserve">). </w:t>
      </w:r>
    </w:p>
    <w:p w:rsidR="00756741" w:rsidRPr="00A20380" w:rsidRDefault="00757168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741">
        <w:rPr>
          <w:rFonts w:ascii="Times New Roman" w:hAnsi="Times New Roman"/>
          <w:sz w:val="28"/>
          <w:szCs w:val="28"/>
        </w:rPr>
        <w:t xml:space="preserve">Оценки Байесовским методом определяются для параметра предпочтений Центрального банка, потребления домохозяйств и </w:t>
      </w:r>
      <w:r w:rsidR="00756741" w:rsidRPr="00756741">
        <w:rPr>
          <w:rFonts w:ascii="Times New Roman" w:hAnsi="Times New Roman"/>
          <w:sz w:val="28"/>
          <w:szCs w:val="28"/>
        </w:rPr>
        <w:t>параметров жесткости цен и заработн</w:t>
      </w:r>
      <w:r w:rsidR="00756741">
        <w:rPr>
          <w:rFonts w:ascii="Times New Roman" w:hAnsi="Times New Roman"/>
          <w:sz w:val="28"/>
          <w:szCs w:val="28"/>
        </w:rPr>
        <w:t xml:space="preserve">ых плат. Использованы данные </w:t>
      </w:r>
      <w:r w:rsidR="00756741" w:rsidRPr="002E4B48">
        <w:rPr>
          <w:rFonts w:ascii="Times New Roman" w:hAnsi="Times New Roman"/>
          <w:sz w:val="28"/>
          <w:szCs w:val="28"/>
        </w:rPr>
        <w:t>для России с 1</w:t>
      </w:r>
      <w:r w:rsidR="00756741">
        <w:rPr>
          <w:rFonts w:ascii="Times New Roman" w:hAnsi="Times New Roman"/>
          <w:sz w:val="28"/>
          <w:szCs w:val="28"/>
        </w:rPr>
        <w:t>-</w:t>
      </w:r>
      <w:r w:rsidR="00756741" w:rsidRPr="002E4B48">
        <w:rPr>
          <w:rFonts w:ascii="Times New Roman" w:hAnsi="Times New Roman"/>
          <w:sz w:val="28"/>
          <w:szCs w:val="28"/>
        </w:rPr>
        <w:t>го квартала</w:t>
      </w:r>
      <w:r w:rsidR="00756741">
        <w:rPr>
          <w:rFonts w:ascii="Times New Roman" w:hAnsi="Times New Roman"/>
          <w:sz w:val="28"/>
          <w:szCs w:val="28"/>
        </w:rPr>
        <w:t xml:space="preserve"> 2002 г. по 1-</w:t>
      </w:r>
      <w:r w:rsidR="00756741" w:rsidRPr="002E4B48">
        <w:rPr>
          <w:rFonts w:ascii="Times New Roman" w:hAnsi="Times New Roman"/>
          <w:sz w:val="28"/>
          <w:szCs w:val="28"/>
        </w:rPr>
        <w:t>й</w:t>
      </w:r>
      <w:r w:rsidR="00756741">
        <w:rPr>
          <w:rFonts w:ascii="Times New Roman" w:hAnsi="Times New Roman"/>
          <w:sz w:val="28"/>
          <w:szCs w:val="28"/>
        </w:rPr>
        <w:t xml:space="preserve"> квартал 2014 г. по следующим макроэкономическим переменным: </w:t>
      </w:r>
      <w:r w:rsidR="00756741" w:rsidRPr="002E4B48">
        <w:rPr>
          <w:rFonts w:ascii="Times New Roman" w:hAnsi="Times New Roman"/>
          <w:sz w:val="28"/>
          <w:szCs w:val="28"/>
        </w:rPr>
        <w:t xml:space="preserve">реальный выпуск </w:t>
      </w:r>
      <w:r w:rsidR="00756741">
        <w:rPr>
          <w:rFonts w:ascii="Times New Roman" w:hAnsi="Times New Roman"/>
          <w:sz w:val="28"/>
          <w:szCs w:val="28"/>
        </w:rPr>
        <w:t>товаров конечного потребления</w:t>
      </w:r>
      <w:r w:rsidR="00756741" w:rsidRPr="002E4B48">
        <w:rPr>
          <w:rFonts w:ascii="Times New Roman" w:hAnsi="Times New Roman"/>
          <w:sz w:val="28"/>
          <w:szCs w:val="28"/>
        </w:rPr>
        <w:t>;</w:t>
      </w:r>
      <w:r w:rsidR="00756741">
        <w:rPr>
          <w:rFonts w:ascii="Times New Roman" w:hAnsi="Times New Roman"/>
          <w:sz w:val="28"/>
          <w:szCs w:val="28"/>
        </w:rPr>
        <w:t xml:space="preserve"> номинальный курс валюты</w:t>
      </w:r>
      <w:r w:rsidR="00756741" w:rsidRPr="00756741">
        <w:rPr>
          <w:rFonts w:ascii="Times New Roman" w:hAnsi="Times New Roman"/>
          <w:sz w:val="28"/>
          <w:szCs w:val="28"/>
        </w:rPr>
        <w:t>;</w:t>
      </w:r>
      <w:r w:rsidR="00756741">
        <w:rPr>
          <w:rFonts w:ascii="Times New Roman" w:hAnsi="Times New Roman"/>
          <w:sz w:val="28"/>
          <w:szCs w:val="28"/>
        </w:rPr>
        <w:t xml:space="preserve"> реальный курс валюты</w:t>
      </w:r>
      <w:r w:rsidR="00756741" w:rsidRPr="00756741">
        <w:rPr>
          <w:rFonts w:ascii="Times New Roman" w:hAnsi="Times New Roman"/>
          <w:sz w:val="28"/>
          <w:szCs w:val="28"/>
        </w:rPr>
        <w:t>;</w:t>
      </w:r>
      <w:r w:rsidR="00756741">
        <w:rPr>
          <w:rFonts w:ascii="Times New Roman" w:hAnsi="Times New Roman"/>
          <w:sz w:val="28"/>
          <w:szCs w:val="28"/>
        </w:rPr>
        <w:t xml:space="preserve"> международные резервы</w:t>
      </w:r>
      <w:r w:rsidR="00756741" w:rsidRPr="00756741">
        <w:rPr>
          <w:rFonts w:ascii="Times New Roman" w:hAnsi="Times New Roman"/>
          <w:sz w:val="28"/>
          <w:szCs w:val="28"/>
        </w:rPr>
        <w:t>;</w:t>
      </w:r>
      <w:r w:rsidR="00756741">
        <w:rPr>
          <w:rFonts w:ascii="Times New Roman" w:hAnsi="Times New Roman"/>
          <w:sz w:val="28"/>
          <w:szCs w:val="28"/>
        </w:rPr>
        <w:t xml:space="preserve"> отечественная ставка процента.</w:t>
      </w:r>
    </w:p>
    <w:p w:rsidR="00757168" w:rsidRPr="00756741" w:rsidRDefault="00757168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92E" w:rsidRDefault="0046492E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априорного значения эластичности </w:t>
      </w:r>
      <w:proofErr w:type="spellStart"/>
      <w:r>
        <w:rPr>
          <w:rFonts w:ascii="Times New Roman" w:hAnsi="Times New Roman"/>
          <w:sz w:val="28"/>
          <w:szCs w:val="28"/>
        </w:rPr>
        <w:t>межвременного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замещения мы используем результаты оценки параметров на </w:t>
      </w:r>
      <w:proofErr w:type="spellStart"/>
      <w:r>
        <w:rPr>
          <w:rFonts w:ascii="Times New Roman" w:hAnsi="Times New Roman"/>
          <w:sz w:val="28"/>
          <w:szCs w:val="28"/>
        </w:rPr>
        <w:t>микроданных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756741">
        <w:rPr>
          <w:rFonts w:ascii="Times New Roman" w:hAnsi="Times New Roman"/>
          <w:sz w:val="28"/>
          <w:szCs w:val="28"/>
        </w:rPr>
        <w:t>Khvostova</w:t>
      </w:r>
      <w:r w:rsidRPr="00B565BB">
        <w:rPr>
          <w:rFonts w:ascii="Times New Roman" w:hAnsi="Times New Roman"/>
          <w:sz w:val="28"/>
          <w:szCs w:val="28"/>
        </w:rPr>
        <w:t xml:space="preserve"> </w:t>
      </w:r>
      <w:r w:rsidRPr="00756741">
        <w:rPr>
          <w:rFonts w:ascii="Times New Roman" w:hAnsi="Times New Roman"/>
          <w:sz w:val="28"/>
          <w:szCs w:val="28"/>
        </w:rPr>
        <w:t>et</w:t>
      </w:r>
      <w:r w:rsidRPr="00B565BB">
        <w:rPr>
          <w:rFonts w:ascii="Times New Roman" w:hAnsi="Times New Roman"/>
          <w:sz w:val="28"/>
          <w:szCs w:val="28"/>
        </w:rPr>
        <w:t>.</w:t>
      </w:r>
      <w:r w:rsidRPr="00756741">
        <w:rPr>
          <w:rFonts w:ascii="Times New Roman" w:hAnsi="Times New Roman"/>
          <w:sz w:val="28"/>
          <w:szCs w:val="28"/>
        </w:rPr>
        <w:t>al</w:t>
      </w:r>
      <w:r w:rsidRPr="00B565BB">
        <w:rPr>
          <w:rFonts w:ascii="Times New Roman" w:hAnsi="Times New Roman"/>
          <w:sz w:val="28"/>
          <w:szCs w:val="28"/>
        </w:rPr>
        <w:t>.</w:t>
      </w:r>
      <w:r w:rsidRPr="003C0E5E">
        <w:rPr>
          <w:rFonts w:ascii="Times New Roman" w:hAnsi="Times New Roman"/>
          <w:sz w:val="28"/>
          <w:szCs w:val="28"/>
        </w:rPr>
        <w:t>, 2014)</w:t>
      </w:r>
      <w:r w:rsidRPr="00795572">
        <w:rPr>
          <w:rFonts w:ascii="Times New Roman" w:hAnsi="Times New Roman"/>
          <w:sz w:val="28"/>
          <w:szCs w:val="28"/>
        </w:rPr>
        <w:t>.</w:t>
      </w:r>
      <w:r w:rsidRPr="001C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</w:t>
      </w:r>
      <w:r w:rsidRPr="00756741">
        <w:rPr>
          <w:rFonts w:ascii="Times New Roman" w:hAnsi="Times New Roman"/>
          <w:sz w:val="28"/>
          <w:szCs w:val="28"/>
        </w:rPr>
        <w:object w:dxaOrig="320" w:dyaOrig="320">
          <v:shape id="_x0000_i1030" type="#_x0000_t75" style="width:15.5pt;height:15.5pt" o:ole="">
            <v:imagedata r:id="rId15" o:title=""/>
          </v:shape>
          <o:OLEObject Type="Embed" ProgID="Equation.3" ShapeID="_x0000_i1030" DrawAspect="Content" ObjectID="_1541884066" r:id="rId16"/>
        </w:object>
      </w:r>
      <w:r>
        <w:rPr>
          <w:rFonts w:ascii="Times New Roman" w:hAnsi="Times New Roman"/>
          <w:sz w:val="28"/>
          <w:szCs w:val="28"/>
        </w:rPr>
        <w:t xml:space="preserve">  принимает значение 0,24, что соответствует эластичности </w:t>
      </w:r>
      <w:proofErr w:type="spellStart"/>
      <w:r>
        <w:rPr>
          <w:rFonts w:ascii="Times New Roman" w:hAnsi="Times New Roman"/>
          <w:sz w:val="28"/>
          <w:szCs w:val="28"/>
        </w:rPr>
        <w:t>межвременного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замещения 4,167, стандартное отклонение 0,851. В качестве априорного распределения для параметра монетарной политики </w:t>
      </w:r>
      <w:r w:rsidRPr="003B5A45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31" type="#_x0000_t75" style="width:10.5pt;height:16pt" o:ole="">
            <v:imagedata r:id="rId17" o:title=""/>
          </v:shape>
          <o:OLEObject Type="Embed" ProgID="Equation.3" ShapeID="_x0000_i1031" DrawAspect="Content" ObjectID="_1541884067" r:id="rId18"/>
        </w:object>
      </w:r>
      <w:r w:rsidRPr="003B5A45">
        <w:rPr>
          <w:rFonts w:ascii="Times New Roman" w:hAnsi="Times New Roman"/>
          <w:sz w:val="28"/>
          <w:szCs w:val="28"/>
        </w:rPr>
        <w:t xml:space="preserve"> используется гамма распределение со средним 0,51, стандартным отклонением 0,07</w:t>
      </w:r>
      <w:r>
        <w:rPr>
          <w:rFonts w:ascii="Times New Roman" w:hAnsi="Times New Roman"/>
          <w:sz w:val="28"/>
          <w:szCs w:val="28"/>
        </w:rPr>
        <w:t xml:space="preserve"> на основании оценок в ди</w:t>
      </w:r>
      <w:r w:rsidR="00D751E1">
        <w:rPr>
          <w:rFonts w:ascii="Times New Roman" w:hAnsi="Times New Roman"/>
          <w:sz w:val="28"/>
          <w:szCs w:val="28"/>
        </w:rPr>
        <w:t>намической монетарной модели (</w:t>
      </w:r>
      <w:r w:rsidR="003749B6">
        <w:rPr>
          <w:rFonts w:ascii="Times New Roman" w:hAnsi="Times New Roman"/>
          <w:sz w:val="28"/>
          <w:szCs w:val="28"/>
        </w:rPr>
        <w:t>Ларин</w:t>
      </w:r>
      <w:r w:rsidR="006D6D48">
        <w:rPr>
          <w:rFonts w:ascii="Times New Roman" w:hAnsi="Times New Roman"/>
          <w:sz w:val="28"/>
          <w:szCs w:val="28"/>
        </w:rPr>
        <w:t xml:space="preserve"> и др.</w:t>
      </w:r>
      <w:r w:rsidR="00D751E1">
        <w:rPr>
          <w:rFonts w:ascii="Times New Roman" w:hAnsi="Times New Roman"/>
          <w:sz w:val="28"/>
          <w:szCs w:val="28"/>
        </w:rPr>
        <w:t>, 2013)</w:t>
      </w:r>
      <w:r>
        <w:rPr>
          <w:rFonts w:ascii="Times New Roman" w:hAnsi="Times New Roman"/>
          <w:sz w:val="28"/>
          <w:szCs w:val="28"/>
        </w:rPr>
        <w:t>.</w:t>
      </w:r>
    </w:p>
    <w:p w:rsidR="00757168" w:rsidRDefault="00757168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Получены оценки с использованием Байесовского метода для параметра предпочтений домохозяйств, параметров жесткости по </w:t>
      </w:r>
      <w:proofErr w:type="spellStart"/>
      <w:r>
        <w:rPr>
          <w:rFonts w:ascii="Times New Roman" w:hAnsi="Times New Roman"/>
          <w:sz w:val="28"/>
          <w:szCs w:val="28"/>
        </w:rPr>
        <w:t>Кальво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заработных плат и цен.</w:t>
      </w:r>
    </w:p>
    <w:p w:rsidR="00757168" w:rsidRDefault="00757168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априорного значения эластичности </w:t>
      </w:r>
      <w:proofErr w:type="spellStart"/>
      <w:r>
        <w:rPr>
          <w:rFonts w:ascii="Times New Roman" w:hAnsi="Times New Roman"/>
          <w:sz w:val="28"/>
          <w:szCs w:val="28"/>
        </w:rPr>
        <w:t>межвременного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замещения мы используем результаты оценки параметров на </w:t>
      </w:r>
      <w:proofErr w:type="spellStart"/>
      <w:r>
        <w:rPr>
          <w:rFonts w:ascii="Times New Roman" w:hAnsi="Times New Roman"/>
          <w:sz w:val="28"/>
          <w:szCs w:val="28"/>
        </w:rPr>
        <w:t>микроданных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Khvostova</w:t>
      </w:r>
      <w:r w:rsidRPr="00B5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B56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B565BB">
        <w:rPr>
          <w:rFonts w:ascii="Times New Roman" w:hAnsi="Times New Roman"/>
          <w:sz w:val="28"/>
          <w:szCs w:val="28"/>
        </w:rPr>
        <w:t>.</w:t>
      </w:r>
      <w:r w:rsidRPr="003C0E5E">
        <w:rPr>
          <w:rFonts w:ascii="Times New Roman" w:hAnsi="Times New Roman"/>
          <w:sz w:val="28"/>
          <w:szCs w:val="28"/>
        </w:rPr>
        <w:t>, 2014)</w:t>
      </w:r>
      <w:r w:rsidRPr="00795572">
        <w:rPr>
          <w:rFonts w:ascii="Times New Roman" w:hAnsi="Times New Roman"/>
          <w:sz w:val="28"/>
          <w:szCs w:val="28"/>
        </w:rPr>
        <w:t>.</w:t>
      </w:r>
      <w:r w:rsidRPr="001C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</w:t>
      </w:r>
      <w:r w:rsidR="00EC4444">
        <w:rPr>
          <w:rFonts w:ascii="Times New Roman" w:hAnsi="Times New Roman"/>
          <w:sz w:val="28"/>
          <w:szCs w:val="28"/>
        </w:rPr>
        <w:t xml:space="preserve"> </w:t>
      </w:r>
      <w:r w:rsidRPr="007C2E3B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2" type="#_x0000_t75" style="width:15.5pt;height:15.5pt" o:ole="">
            <v:imagedata r:id="rId15" o:title=""/>
          </v:shape>
          <o:OLEObject Type="Embed" ProgID="Equation.3" ShapeID="_x0000_i1032" DrawAspect="Content" ObjectID="_1541884068" r:id="rId19"/>
        </w:object>
      </w:r>
      <w:r w:rsidR="00EC4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значение 0,24, что соответствует эластичности </w:t>
      </w:r>
      <w:proofErr w:type="spellStart"/>
      <w:r>
        <w:rPr>
          <w:rFonts w:ascii="Times New Roman" w:hAnsi="Times New Roman"/>
          <w:sz w:val="28"/>
          <w:szCs w:val="28"/>
        </w:rPr>
        <w:t>межвременного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замещения 4,167, стандартное отклонение 0,851. В качестве априорного распределения для параметра монетарной политики </w:t>
      </w:r>
      <w:r w:rsidRPr="003B5A45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33" type="#_x0000_t75" style="width:10.5pt;height:16pt" o:ole="">
            <v:imagedata r:id="rId17" o:title=""/>
          </v:shape>
          <o:OLEObject Type="Embed" ProgID="Equation.3" ShapeID="_x0000_i1033" DrawAspect="Content" ObjectID="_1541884069" r:id="rId20"/>
        </w:object>
      </w:r>
      <w:r w:rsidRPr="003B5A45">
        <w:rPr>
          <w:rFonts w:ascii="Times New Roman" w:hAnsi="Times New Roman"/>
          <w:sz w:val="28"/>
          <w:szCs w:val="28"/>
        </w:rPr>
        <w:t xml:space="preserve"> используется гамма распределение со средним 0,51, </w:t>
      </w:r>
      <w:r w:rsidRPr="003B5A45">
        <w:rPr>
          <w:rFonts w:ascii="Times New Roman" w:hAnsi="Times New Roman"/>
          <w:sz w:val="28"/>
          <w:szCs w:val="28"/>
        </w:rPr>
        <w:lastRenderedPageBreak/>
        <w:t>стандартным отклонением 0,07</w:t>
      </w:r>
      <w:r>
        <w:rPr>
          <w:rFonts w:ascii="Times New Roman" w:hAnsi="Times New Roman"/>
          <w:sz w:val="28"/>
          <w:szCs w:val="28"/>
        </w:rPr>
        <w:t xml:space="preserve"> на основании оценок в динамической монетарной модели (</w:t>
      </w:r>
      <w:r w:rsidR="006D6D48">
        <w:rPr>
          <w:rFonts w:ascii="Times New Roman" w:hAnsi="Times New Roman"/>
          <w:sz w:val="28"/>
          <w:szCs w:val="28"/>
        </w:rPr>
        <w:t>Ларин и др.</w:t>
      </w:r>
      <w:r>
        <w:rPr>
          <w:rFonts w:ascii="Times New Roman" w:hAnsi="Times New Roman"/>
          <w:sz w:val="28"/>
          <w:szCs w:val="28"/>
        </w:rPr>
        <w:t>, 2013).</w:t>
      </w:r>
    </w:p>
    <w:p w:rsidR="00756741" w:rsidRDefault="00756741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интерес представляет оценка для параметра монетарной политики. Результат тестирования показывает, что при использовании априорных значений, полученных в ходе тестирования монетарной модели, апостериорная</w:t>
      </w:r>
      <w:r w:rsidRPr="00A76123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A76123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а также имеет предсказанный теоретически знак. Кроме того, значение параметра близко к априорному, что ожидаемо с учетом жестко заданного априорного распределения.</w:t>
      </w:r>
    </w:p>
    <w:p w:rsidR="00756741" w:rsidRDefault="00F6019C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модели выполнен с помощью анализа функций импульсного отклика.</w:t>
      </w:r>
      <w:r w:rsidR="00756741">
        <w:rPr>
          <w:rFonts w:ascii="Times New Roman" w:hAnsi="Times New Roman"/>
          <w:sz w:val="28"/>
          <w:szCs w:val="28"/>
        </w:rPr>
        <w:t xml:space="preserve"> Предложенная в работе спецификация модели позволяет моделировать нелинейную реакцию основных макроэкономических переменных на внешние шоки. Особенностью </w:t>
      </w:r>
      <w:r w:rsidR="00756741" w:rsidRPr="00112589">
        <w:rPr>
          <w:rFonts w:ascii="Times New Roman" w:hAnsi="Times New Roman"/>
          <w:sz w:val="28"/>
          <w:szCs w:val="28"/>
        </w:rPr>
        <w:t>данной спецификации является учет внешнего сектора экономики через взаимодействие как на финансовом, так и на товарном рынках.</w:t>
      </w:r>
    </w:p>
    <w:p w:rsidR="00756741" w:rsidRDefault="00756741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отметим, что на основе данной модели удалось оценить правило монетарной политики с учетом эндогенной реакции Центрального банка на запас международных резервов.</w:t>
      </w:r>
      <w:r w:rsidRPr="00112589">
        <w:rPr>
          <w:rFonts w:ascii="Times New Roman" w:hAnsi="Times New Roman"/>
          <w:sz w:val="28"/>
          <w:szCs w:val="28"/>
        </w:rPr>
        <w:t xml:space="preserve"> Оценить правило отдельно для двух периодов – кризисного и </w:t>
      </w:r>
      <w:proofErr w:type="spellStart"/>
      <w:r w:rsidRPr="00112589">
        <w:rPr>
          <w:rFonts w:ascii="Times New Roman" w:hAnsi="Times New Roman"/>
          <w:sz w:val="28"/>
          <w:szCs w:val="28"/>
        </w:rPr>
        <w:t>некризисного</w:t>
      </w:r>
      <w:proofErr w:type="spellEnd"/>
      <w:r w:rsidRPr="00112589">
        <w:rPr>
          <w:rFonts w:ascii="Times New Roman" w:hAnsi="Times New Roman"/>
          <w:sz w:val="28"/>
          <w:szCs w:val="28"/>
        </w:rPr>
        <w:t xml:space="preserve"> – не представляется возможным, так как при линеаризации модели невозможно разделить коэффициенты для разных периодов. Однако приведенные оценки позволяют говорить о том, что представленное правило может быть использовано для объяснения политики </w:t>
      </w:r>
      <w:r>
        <w:rPr>
          <w:rFonts w:ascii="Times New Roman" w:hAnsi="Times New Roman"/>
          <w:sz w:val="28"/>
          <w:szCs w:val="28"/>
        </w:rPr>
        <w:t>Банка России</w:t>
      </w:r>
      <w:r w:rsidRPr="00112589">
        <w:rPr>
          <w:rFonts w:ascii="Times New Roman" w:hAnsi="Times New Roman"/>
          <w:sz w:val="28"/>
          <w:szCs w:val="28"/>
        </w:rPr>
        <w:t xml:space="preserve"> для всего рассматриваемого периода.</w:t>
      </w:r>
    </w:p>
    <w:p w:rsidR="008328A4" w:rsidRDefault="008328A4" w:rsidP="007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A4" w:rsidRPr="008328A4" w:rsidRDefault="008328A4" w:rsidP="007567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8A4">
        <w:rPr>
          <w:rFonts w:ascii="Times New Roman" w:hAnsi="Times New Roman"/>
          <w:b/>
          <w:i/>
          <w:iCs/>
          <w:sz w:val="28"/>
          <w:szCs w:val="28"/>
        </w:rPr>
        <w:t>Список использованной литературы:</w:t>
      </w:r>
    </w:p>
    <w:p w:rsidR="00F6019C" w:rsidRPr="003B5A45" w:rsidRDefault="00F6019C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92E" w:rsidRDefault="0046492E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48">
        <w:rPr>
          <w:rFonts w:ascii="Times New Roman" w:hAnsi="Times New Roman"/>
          <w:sz w:val="28"/>
          <w:szCs w:val="28"/>
        </w:rPr>
        <w:t>Ларин А. В., </w:t>
      </w:r>
      <w:proofErr w:type="spellStart"/>
      <w:r w:rsidRPr="006D6D48">
        <w:rPr>
          <w:rFonts w:ascii="Times New Roman" w:hAnsi="Times New Roman"/>
          <w:sz w:val="28"/>
          <w:szCs w:val="28"/>
        </w:rPr>
        <w:fldChar w:fldCharType="begin"/>
      </w:r>
      <w:r w:rsidRPr="006D6D48">
        <w:rPr>
          <w:rFonts w:ascii="Times New Roman" w:hAnsi="Times New Roman"/>
          <w:sz w:val="28"/>
          <w:szCs w:val="28"/>
        </w:rPr>
        <w:instrText xml:space="preserve"> HYPERLINK "http://www.hse.ru/org/persons/18351840" \t "_blank" </w:instrText>
      </w:r>
      <w:r w:rsidRPr="006D6D48">
        <w:rPr>
          <w:rFonts w:ascii="Times New Roman" w:hAnsi="Times New Roman"/>
          <w:sz w:val="28"/>
          <w:szCs w:val="28"/>
        </w:rPr>
        <w:fldChar w:fldCharType="separate"/>
      </w:r>
      <w:r w:rsidRPr="006D6D48">
        <w:rPr>
          <w:rFonts w:ascii="Times New Roman" w:hAnsi="Times New Roman"/>
          <w:sz w:val="28"/>
          <w:szCs w:val="28"/>
        </w:rPr>
        <w:t>Новак</w:t>
      </w:r>
      <w:proofErr w:type="spellEnd"/>
      <w:r w:rsidRPr="006D6D48">
        <w:rPr>
          <w:rFonts w:ascii="Times New Roman" w:hAnsi="Times New Roman"/>
          <w:sz w:val="28"/>
          <w:szCs w:val="28"/>
        </w:rPr>
        <w:t xml:space="preserve"> А. Е.</w:t>
      </w:r>
      <w:r w:rsidRPr="006D6D48">
        <w:rPr>
          <w:rFonts w:ascii="Times New Roman" w:hAnsi="Times New Roman"/>
          <w:sz w:val="28"/>
          <w:szCs w:val="28"/>
        </w:rPr>
        <w:fldChar w:fldCharType="end"/>
      </w:r>
      <w:r w:rsidRPr="006D6D48">
        <w:rPr>
          <w:rFonts w:ascii="Times New Roman" w:hAnsi="Times New Roman"/>
          <w:sz w:val="28"/>
          <w:szCs w:val="28"/>
        </w:rPr>
        <w:t>, </w:t>
      </w:r>
      <w:proofErr w:type="spellStart"/>
      <w:r w:rsidRPr="006D6D48">
        <w:rPr>
          <w:rFonts w:ascii="Times New Roman" w:hAnsi="Times New Roman"/>
          <w:sz w:val="28"/>
          <w:szCs w:val="28"/>
        </w:rPr>
        <w:fldChar w:fldCharType="begin"/>
      </w:r>
      <w:r w:rsidRPr="006D6D48">
        <w:rPr>
          <w:rFonts w:ascii="Times New Roman" w:hAnsi="Times New Roman"/>
          <w:sz w:val="28"/>
          <w:szCs w:val="28"/>
        </w:rPr>
        <w:instrText xml:space="preserve"> HYPERLINK "http://www.hse.ru/org/persons/18351850" \t "_blank" </w:instrText>
      </w:r>
      <w:r w:rsidRPr="006D6D48">
        <w:rPr>
          <w:rFonts w:ascii="Times New Roman" w:hAnsi="Times New Roman"/>
          <w:sz w:val="28"/>
          <w:szCs w:val="28"/>
        </w:rPr>
        <w:fldChar w:fldCharType="separate"/>
      </w:r>
      <w:r w:rsidRPr="006D6D48">
        <w:rPr>
          <w:rFonts w:ascii="Times New Roman" w:hAnsi="Times New Roman"/>
          <w:sz w:val="28"/>
          <w:szCs w:val="28"/>
        </w:rPr>
        <w:t>Хвостова</w:t>
      </w:r>
      <w:proofErr w:type="spellEnd"/>
      <w:r w:rsidRPr="006D6D48">
        <w:rPr>
          <w:rFonts w:ascii="Times New Roman" w:hAnsi="Times New Roman"/>
          <w:sz w:val="28"/>
          <w:szCs w:val="28"/>
        </w:rPr>
        <w:t xml:space="preserve"> И. Е.</w:t>
      </w:r>
      <w:r w:rsidRPr="006D6D48">
        <w:rPr>
          <w:rFonts w:ascii="Times New Roman" w:hAnsi="Times New Roman"/>
          <w:sz w:val="28"/>
          <w:szCs w:val="28"/>
        </w:rPr>
        <w:fldChar w:fldCharType="end"/>
      </w:r>
      <w:r w:rsidRPr="006D6D48">
        <w:rPr>
          <w:rFonts w:ascii="Times New Roman" w:hAnsi="Times New Roman"/>
          <w:sz w:val="28"/>
          <w:szCs w:val="28"/>
        </w:rPr>
        <w:t> </w:t>
      </w:r>
      <w:hyperlink r:id="rId21" w:tgtFrame="_blank" w:history="1">
        <w:r w:rsidRPr="006D6D48">
          <w:rPr>
            <w:rFonts w:ascii="Times New Roman" w:hAnsi="Times New Roman"/>
            <w:sz w:val="28"/>
            <w:szCs w:val="28"/>
          </w:rPr>
          <w:t>Особенности динамики потребления в России: оценка на дезагрегированных данных</w:t>
        </w:r>
      </w:hyperlink>
      <w:r w:rsidRPr="006D6D48">
        <w:rPr>
          <w:rFonts w:ascii="Times New Roman" w:hAnsi="Times New Roman"/>
          <w:sz w:val="28"/>
          <w:szCs w:val="28"/>
        </w:rPr>
        <w:t> // Прикладная эконометрика. –  2013. – Т. – 32. – № 4. – С. 29-44;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D48">
        <w:rPr>
          <w:rFonts w:ascii="Times New Roman" w:hAnsi="Times New Roman"/>
          <w:sz w:val="28"/>
          <w:szCs w:val="28"/>
        </w:rPr>
        <w:t>Полбин</w:t>
      </w:r>
      <w:proofErr w:type="spellEnd"/>
      <w:r w:rsidRPr="006D6D48">
        <w:rPr>
          <w:rFonts w:ascii="Times New Roman" w:hAnsi="Times New Roman"/>
          <w:sz w:val="28"/>
          <w:szCs w:val="28"/>
        </w:rPr>
        <w:t xml:space="preserve"> А. В. Построение динамической стохастической модели общего равновесия для экономики с высокой зависимостью от экспорта нефти //Экономический журнал Высшей школы экономики. – 2013. – Т. 17. – №. 2;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D48">
        <w:rPr>
          <w:rFonts w:ascii="Times New Roman" w:hAnsi="Times New Roman"/>
          <w:sz w:val="28"/>
          <w:szCs w:val="28"/>
        </w:rPr>
        <w:t>Полбин</w:t>
      </w:r>
      <w:proofErr w:type="spellEnd"/>
      <w:r w:rsidRPr="006D6D48">
        <w:rPr>
          <w:rFonts w:ascii="Times New Roman" w:hAnsi="Times New Roman"/>
          <w:sz w:val="28"/>
          <w:szCs w:val="28"/>
        </w:rPr>
        <w:t xml:space="preserve"> А.В. Эконометрическая оценка структурной макроэкономической модели российской экономики // Прикладная эконометрика. – 2014. – Т. – 33 – №1.</w:t>
      </w:r>
      <w:bookmarkStart w:id="1" w:name="_Toc420883750"/>
    </w:p>
    <w:bookmarkEnd w:id="1"/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48">
        <w:rPr>
          <w:rFonts w:ascii="Times New Roman" w:hAnsi="Times New Roman"/>
          <w:sz w:val="28"/>
          <w:szCs w:val="28"/>
        </w:rPr>
        <w:t>Шульгин А. Г. </w:t>
      </w:r>
      <w:hyperlink r:id="rId22" w:tgtFrame="_blank" w:history="1">
        <w:r w:rsidRPr="006D6D48">
          <w:rPr>
            <w:rFonts w:ascii="Times New Roman" w:hAnsi="Times New Roman"/>
            <w:sz w:val="28"/>
            <w:szCs w:val="28"/>
          </w:rPr>
          <w:t>Сколько правил монетарной политики необходимо при оценке DSGE модели для России?</w:t>
        </w:r>
      </w:hyperlink>
      <w:r w:rsidRPr="006D6D48">
        <w:rPr>
          <w:rFonts w:ascii="Times New Roman" w:hAnsi="Times New Roman"/>
          <w:sz w:val="28"/>
          <w:szCs w:val="28"/>
        </w:rPr>
        <w:t> // Прикладная эконометрика. – 2014. – Т. – 36. – № 4;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Christiano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L. J.,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Eichenbaum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M., Evans C. L. Nominal rigidities and the dynamic effects of a shock to monetary policy //Journal of political Economy. – 2005.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113. – №. </w:t>
      </w:r>
      <w:r w:rsidRPr="006D6D48">
        <w:rPr>
          <w:rFonts w:ascii="Times New Roman" w:hAnsi="Times New Roman"/>
          <w:sz w:val="28"/>
          <w:szCs w:val="28"/>
        </w:rPr>
        <w:t>1. – С. 1-45;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Gali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J.,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Monacelli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T. Monetary policy and exchange rate volatility in a small open economy //The Review of Economic Studies. – 2005.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72. – №. </w:t>
      </w:r>
      <w:r w:rsidRPr="006D6D48">
        <w:rPr>
          <w:rFonts w:ascii="Times New Roman" w:hAnsi="Times New Roman"/>
          <w:sz w:val="28"/>
          <w:szCs w:val="28"/>
        </w:rPr>
        <w:t>3. – С. 707-734;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A92">
        <w:rPr>
          <w:rFonts w:ascii="Times New Roman" w:hAnsi="Times New Roman"/>
          <w:sz w:val="28"/>
          <w:szCs w:val="28"/>
          <w:lang w:val="en-US"/>
        </w:rPr>
        <w:lastRenderedPageBreak/>
        <w:t xml:space="preserve">Khvostova I.,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Larin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A., Novak A. Euler equation with habits and measurement errors: estimates on Russian micro data //Higher School of Economics Research Paper No. </w:t>
      </w:r>
      <w:r w:rsidRPr="006D6D48">
        <w:rPr>
          <w:rFonts w:ascii="Times New Roman" w:hAnsi="Times New Roman"/>
          <w:sz w:val="28"/>
          <w:szCs w:val="28"/>
        </w:rPr>
        <w:t>WP BRP. – 2014. – Т. 52;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Kollmann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R. The exchange rate in a dynamic-optimizing business cycle model with nominal rigidities: a quantitative investigation //Journal of International Economics. – 2001.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55. – №. </w:t>
      </w:r>
      <w:r w:rsidRPr="006D6D48">
        <w:rPr>
          <w:rFonts w:ascii="Times New Roman" w:hAnsi="Times New Roman"/>
          <w:sz w:val="28"/>
          <w:szCs w:val="28"/>
        </w:rPr>
        <w:t>2. – С. 243-262.;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Malakhovskaya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O.,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Minabutdinov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A. Are commodity price shocks important? A Bayesian estimation of a DSGE model for Russia //International Journal of Computational Economics and Econometrics. – 2014.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4. – №. </w:t>
      </w:r>
      <w:r w:rsidRPr="006D6D48">
        <w:rPr>
          <w:rFonts w:ascii="Times New Roman" w:hAnsi="Times New Roman"/>
          <w:sz w:val="28"/>
          <w:szCs w:val="28"/>
        </w:rPr>
        <w:t>1-2. – С. 148-180;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Semko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R. Optimal economic policy and oil prices shocks in Russia //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Ekonomska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istraživanja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. – 2013.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26. – №. </w:t>
      </w:r>
      <w:r w:rsidRPr="006D6D48">
        <w:rPr>
          <w:rFonts w:ascii="Times New Roman" w:hAnsi="Times New Roman"/>
          <w:sz w:val="28"/>
          <w:szCs w:val="28"/>
        </w:rPr>
        <w:t>2. – С. 69-82;</w:t>
      </w:r>
    </w:p>
    <w:p w:rsidR="00294F39" w:rsidRPr="006D6D48" w:rsidRDefault="00294F39" w:rsidP="006D6D4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Smets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F., </w:t>
      </w:r>
      <w:proofErr w:type="spellStart"/>
      <w:r w:rsidRPr="002B2A92">
        <w:rPr>
          <w:rFonts w:ascii="Times New Roman" w:hAnsi="Times New Roman"/>
          <w:sz w:val="28"/>
          <w:szCs w:val="28"/>
          <w:lang w:val="en-US"/>
        </w:rPr>
        <w:t>Wouters</w:t>
      </w:r>
      <w:proofErr w:type="spellEnd"/>
      <w:r w:rsidRPr="002B2A92">
        <w:rPr>
          <w:rFonts w:ascii="Times New Roman" w:hAnsi="Times New Roman"/>
          <w:sz w:val="28"/>
          <w:szCs w:val="28"/>
          <w:lang w:val="en-US"/>
        </w:rPr>
        <w:t xml:space="preserve"> R. Comparing shocks and frictions in US and euro area business cycles: </w:t>
      </w:r>
      <w:proofErr w:type="gramStart"/>
      <w:r w:rsidRPr="002B2A92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2B2A92">
        <w:rPr>
          <w:rFonts w:ascii="Times New Roman" w:hAnsi="Times New Roman"/>
          <w:sz w:val="28"/>
          <w:szCs w:val="28"/>
          <w:lang w:val="en-US"/>
        </w:rPr>
        <w:t xml:space="preserve"> Bayesian DSGE approach //Journal of Applied Econometrics. – 2005. – </w:t>
      </w:r>
      <w:r w:rsidRPr="006D6D48">
        <w:rPr>
          <w:rFonts w:ascii="Times New Roman" w:hAnsi="Times New Roman"/>
          <w:sz w:val="28"/>
          <w:szCs w:val="28"/>
        </w:rPr>
        <w:t>Т</w:t>
      </w:r>
      <w:r w:rsidRPr="002B2A92">
        <w:rPr>
          <w:rFonts w:ascii="Times New Roman" w:hAnsi="Times New Roman"/>
          <w:sz w:val="28"/>
          <w:szCs w:val="28"/>
          <w:lang w:val="en-US"/>
        </w:rPr>
        <w:t xml:space="preserve">. 20. – №. </w:t>
      </w:r>
      <w:r w:rsidRPr="006D6D48">
        <w:rPr>
          <w:rFonts w:ascii="Times New Roman" w:hAnsi="Times New Roman"/>
          <w:sz w:val="28"/>
          <w:szCs w:val="28"/>
        </w:rPr>
        <w:t>2. – С. 161-183;</w:t>
      </w:r>
    </w:p>
    <w:p w:rsidR="0046492E" w:rsidRPr="006D6D48" w:rsidRDefault="0046492E" w:rsidP="00954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C76" w:rsidRPr="00294F39" w:rsidRDefault="00C314D6">
      <w:pPr>
        <w:rPr>
          <w:lang w:val="en-US"/>
        </w:rPr>
      </w:pPr>
      <w:r w:rsidRPr="00294F39">
        <w:rPr>
          <w:lang w:val="en-US"/>
        </w:rPr>
        <w:t xml:space="preserve"> </w:t>
      </w:r>
    </w:p>
    <w:sectPr w:rsidR="00644C76" w:rsidRPr="0029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D1C"/>
    <w:multiLevelType w:val="hybridMultilevel"/>
    <w:tmpl w:val="32F0A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4365F6"/>
    <w:multiLevelType w:val="hybridMultilevel"/>
    <w:tmpl w:val="C63A1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3D2574"/>
    <w:multiLevelType w:val="hybridMultilevel"/>
    <w:tmpl w:val="F92E1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C11B7F"/>
    <w:multiLevelType w:val="hybridMultilevel"/>
    <w:tmpl w:val="FC3A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DF1FE4"/>
    <w:multiLevelType w:val="hybridMultilevel"/>
    <w:tmpl w:val="463A7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C"/>
    <w:rsid w:val="000F2524"/>
    <w:rsid w:val="00294F39"/>
    <w:rsid w:val="002B2A92"/>
    <w:rsid w:val="003749B6"/>
    <w:rsid w:val="003E0968"/>
    <w:rsid w:val="0046492E"/>
    <w:rsid w:val="004F67A2"/>
    <w:rsid w:val="00577FD1"/>
    <w:rsid w:val="00644C76"/>
    <w:rsid w:val="00652568"/>
    <w:rsid w:val="00652F08"/>
    <w:rsid w:val="006D6D48"/>
    <w:rsid w:val="00756741"/>
    <w:rsid w:val="00757168"/>
    <w:rsid w:val="007D01F3"/>
    <w:rsid w:val="008328A4"/>
    <w:rsid w:val="008F1BD8"/>
    <w:rsid w:val="0095495B"/>
    <w:rsid w:val="00C314D6"/>
    <w:rsid w:val="00CA639B"/>
    <w:rsid w:val="00CE5227"/>
    <w:rsid w:val="00D244BC"/>
    <w:rsid w:val="00D751E1"/>
    <w:rsid w:val="00DF2B17"/>
    <w:rsid w:val="00EC4444"/>
    <w:rsid w:val="00F6019C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A1B1"/>
  <w15:chartTrackingRefBased/>
  <w15:docId w15:val="{EFB73C41-6227-4774-9F83-5DF132D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E">
    <w:name w:val="KATE_Текст документа"/>
    <w:rsid w:val="00D244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F6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67A2"/>
    <w:rPr>
      <w:b/>
      <w:bCs/>
    </w:rPr>
  </w:style>
  <w:style w:type="character" w:styleId="a5">
    <w:name w:val="Hyperlink"/>
    <w:basedOn w:val="a0"/>
    <w:uiPriority w:val="99"/>
    <w:unhideWhenUsed/>
    <w:rsid w:val="009549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4F39"/>
    <w:pPr>
      <w:ind w:left="720"/>
      <w:contextualSpacing/>
    </w:pPr>
  </w:style>
  <w:style w:type="character" w:styleId="a7">
    <w:name w:val="Emphasis"/>
    <w:basedOn w:val="a0"/>
    <w:uiPriority w:val="20"/>
    <w:qFormat/>
    <w:rsid w:val="00832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publications.hse.ru/view/95083982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publications.hse.ru/view/134918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Khvostova</dc:creator>
  <cp:keywords/>
  <dc:description/>
  <cp:lastModifiedBy>Irina Khvostova</cp:lastModifiedBy>
  <cp:revision>2</cp:revision>
  <dcterms:created xsi:type="dcterms:W3CDTF">2016-11-28T21:21:00Z</dcterms:created>
  <dcterms:modified xsi:type="dcterms:W3CDTF">2016-11-28T21:21:00Z</dcterms:modified>
</cp:coreProperties>
</file>