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21" w:rsidRPr="00C85F11" w:rsidRDefault="00B91D21" w:rsidP="008D6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3483">
        <w:rPr>
          <w:rFonts w:ascii="Times New Roman" w:hAnsi="Times New Roman" w:cs="Times New Roman"/>
          <w:b/>
          <w:sz w:val="24"/>
          <w:szCs w:val="24"/>
          <w:lang w:val="en-US"/>
        </w:rPr>
        <w:t>The Impact of Mortgage Secrutization on Bank Performance: Est</w:t>
      </w:r>
      <w:r w:rsidR="00DF12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imation of the Average </w:t>
      </w:r>
      <w:r w:rsidR="00DF12B6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E</w:t>
      </w:r>
      <w:r w:rsidR="00DF12B6" w:rsidRPr="004216A7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xposure</w:t>
      </w:r>
      <w:r w:rsidRPr="00B534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Effect</w:t>
      </w:r>
    </w:p>
    <w:p w:rsidR="00F543B3" w:rsidRDefault="00F543B3" w:rsidP="00F543B3">
      <w:pPr>
        <w:autoSpaceDE w:val="0"/>
        <w:autoSpaceDN w:val="0"/>
        <w:adjustRightInd w:val="0"/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</w:pPr>
    </w:p>
    <w:p w:rsidR="00F543B3" w:rsidRPr="00056E1C" w:rsidRDefault="00F543B3" w:rsidP="00F543B3">
      <w:pPr>
        <w:autoSpaceDE w:val="0"/>
        <w:autoSpaceDN w:val="0"/>
        <w:adjustRightInd w:val="0"/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</w:pPr>
      <w:r w:rsidRPr="00F543B3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>S</w:t>
      </w:r>
      <w:r w:rsidRPr="00056E1C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F543B3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>Khasyanova</w:t>
      </w:r>
      <w:r w:rsidRPr="00056E1C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>,</w:t>
      </w:r>
      <w:r w:rsidRPr="00F543B3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 xml:space="preserve"> M. Samsonov </w:t>
      </w:r>
    </w:p>
    <w:p w:rsidR="008D6C2F" w:rsidRDefault="004826B6" w:rsidP="004826B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85F1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F6094" w:rsidRPr="00DC5F06" w:rsidRDefault="007F6094" w:rsidP="007F60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227A81">
        <w:rPr>
          <w:rFonts w:ascii="Times New Roman" w:eastAsia="TimesNewRoman" w:hAnsi="Times New Roman" w:cs="Times New Roman"/>
          <w:b/>
          <w:i/>
          <w:sz w:val="24"/>
          <w:szCs w:val="24"/>
          <w:lang w:val="en-US"/>
        </w:rPr>
        <w:t>Keywords:</w:t>
      </w:r>
      <w:r w:rsidRPr="00227A81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banking sector, mortgage securitization, systemic risk, securitization determinants, loan portfolio refinancing, loan offer, capital, liquidity.</w:t>
      </w:r>
    </w:p>
    <w:p w:rsidR="00E26205" w:rsidRPr="00D90C16" w:rsidRDefault="004826B6" w:rsidP="00E2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4826B6">
        <w:rPr>
          <w:rFonts w:ascii="Times New Roman" w:eastAsia="TimesNewRoman" w:hAnsi="Times New Roman" w:cs="Times New Roman"/>
          <w:sz w:val="24"/>
          <w:szCs w:val="24"/>
          <w:lang w:val="en-US"/>
        </w:rPr>
        <w:t>JEL</w:t>
      </w:r>
      <w:r w:rsidRPr="00D90C1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4826B6">
        <w:rPr>
          <w:rFonts w:ascii="Times New Roman" w:eastAsia="TimesNewRoman" w:hAnsi="Times New Roman" w:cs="Times New Roman"/>
          <w:sz w:val="24"/>
          <w:szCs w:val="24"/>
          <w:lang w:val="en-US"/>
        </w:rPr>
        <w:t>G</w:t>
      </w:r>
      <w:r w:rsidRPr="00D90C1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21, </w:t>
      </w:r>
      <w:r w:rsidRPr="004826B6">
        <w:rPr>
          <w:rFonts w:ascii="Times New Roman" w:eastAsia="TimesNewRoman" w:hAnsi="Times New Roman" w:cs="Times New Roman"/>
          <w:sz w:val="24"/>
          <w:szCs w:val="24"/>
          <w:lang w:val="en-US"/>
        </w:rPr>
        <w:t>G</w:t>
      </w:r>
      <w:r w:rsidRPr="00D90C1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11, </w:t>
      </w:r>
      <w:r w:rsidRPr="004826B6">
        <w:rPr>
          <w:rFonts w:ascii="Times New Roman" w:eastAsia="TimesNewRoman" w:hAnsi="Times New Roman" w:cs="Times New Roman"/>
          <w:sz w:val="24"/>
          <w:szCs w:val="24"/>
          <w:lang w:val="en-US"/>
        </w:rPr>
        <w:t>G</w:t>
      </w:r>
      <w:r w:rsidRPr="00D90C1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12 </w:t>
      </w:r>
    </w:p>
    <w:p w:rsidR="006E7886" w:rsidRDefault="006E7886" w:rsidP="00295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</w:p>
    <w:p w:rsidR="006E7886" w:rsidRDefault="006E7886" w:rsidP="006E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iCs/>
          <w:sz w:val="24"/>
          <w:szCs w:val="24"/>
          <w:lang w:val="en-US"/>
        </w:rPr>
      </w:pPr>
      <w:r w:rsidRPr="00433B63">
        <w:rPr>
          <w:rFonts w:ascii="Times New Roman" w:eastAsia="TimesNewRoman" w:hAnsi="Times New Roman" w:cs="Times New Roman"/>
          <w:iCs/>
          <w:sz w:val="24"/>
          <w:szCs w:val="24"/>
          <w:lang w:val="en-US"/>
        </w:rPr>
        <w:t xml:space="preserve">Mortgage securitization is an innovative financial tool </w:t>
      </w:r>
      <w:r>
        <w:rPr>
          <w:rFonts w:ascii="Times New Roman" w:eastAsia="TimesNewRoman" w:hAnsi="Times New Roman" w:cs="Times New Roman"/>
          <w:iCs/>
          <w:sz w:val="24"/>
          <w:szCs w:val="24"/>
          <w:lang w:val="en-US"/>
        </w:rPr>
        <w:t xml:space="preserve">that allows </w:t>
      </w:r>
      <w:proofErr w:type="gramStart"/>
      <w:r>
        <w:rPr>
          <w:rFonts w:ascii="Times New Roman" w:eastAsia="TimesNewRoman" w:hAnsi="Times New Roman" w:cs="Times New Roman"/>
          <w:iCs/>
          <w:sz w:val="24"/>
          <w:szCs w:val="24"/>
          <w:lang w:val="en-US"/>
        </w:rPr>
        <w:t>to</w:t>
      </w:r>
      <w:r w:rsidRPr="00433B63">
        <w:rPr>
          <w:rFonts w:ascii="Times New Roman" w:eastAsia="TimesNewRoman" w:hAnsi="Times New Roman" w:cs="Times New Roman"/>
          <w:iCs/>
          <w:sz w:val="24"/>
          <w:szCs w:val="24"/>
          <w:lang w:val="en-US"/>
        </w:rPr>
        <w:t xml:space="preserve"> improve</w:t>
      </w:r>
      <w:proofErr w:type="gramEnd"/>
      <w:r w:rsidRPr="00433B63">
        <w:rPr>
          <w:rFonts w:ascii="Times New Roman" w:eastAsia="TimesNewRoman" w:hAnsi="Times New Roman" w:cs="Times New Roman"/>
          <w:iCs/>
          <w:sz w:val="24"/>
          <w:szCs w:val="24"/>
          <w:lang w:val="en-US"/>
        </w:rPr>
        <w:t xml:space="preserve"> the performance of banking business, but at the same time, under certain conditions, it </w:t>
      </w:r>
      <w:r>
        <w:rPr>
          <w:rFonts w:ascii="Times New Roman" w:eastAsia="TimesNewRoman" w:hAnsi="Times New Roman" w:cs="Times New Roman"/>
          <w:iCs/>
          <w:sz w:val="24"/>
          <w:szCs w:val="24"/>
          <w:lang w:val="en-US"/>
        </w:rPr>
        <w:t xml:space="preserve">might have </w:t>
      </w:r>
      <w:r w:rsidRPr="00433B63">
        <w:rPr>
          <w:rFonts w:ascii="Times New Roman" w:eastAsia="TimesNewRoman" w:hAnsi="Times New Roman" w:cs="Times New Roman"/>
          <w:iCs/>
          <w:sz w:val="24"/>
          <w:szCs w:val="24"/>
          <w:lang w:val="en-US"/>
        </w:rPr>
        <w:t xml:space="preserve">extremely negative consequences for the stability of the banking sector, as </w:t>
      </w:r>
      <w:r>
        <w:rPr>
          <w:rFonts w:ascii="Times New Roman" w:eastAsia="TimesNewRoman" w:hAnsi="Times New Roman" w:cs="Times New Roman"/>
          <w:iCs/>
          <w:sz w:val="24"/>
          <w:szCs w:val="24"/>
          <w:lang w:val="en-US"/>
        </w:rPr>
        <w:t>proved</w:t>
      </w:r>
      <w:r w:rsidRPr="00433B63">
        <w:rPr>
          <w:rFonts w:ascii="Times New Roman" w:eastAsia="TimesNewRoman" w:hAnsi="Times New Roman" w:cs="Times New Roman"/>
          <w:iCs/>
          <w:sz w:val="24"/>
          <w:szCs w:val="24"/>
          <w:lang w:val="en-US"/>
        </w:rPr>
        <w:t xml:space="preserve"> by the last global financial crisis</w:t>
      </w:r>
      <w:r>
        <w:rPr>
          <w:rFonts w:ascii="Times New Roman" w:eastAsia="TimesNewRoman" w:hAnsi="Times New Roman" w:cs="Times New Roman"/>
          <w:iCs/>
          <w:sz w:val="24"/>
          <w:szCs w:val="24"/>
          <w:lang w:val="en-US"/>
        </w:rPr>
        <w:t xml:space="preserve"> triggered by</w:t>
      </w:r>
      <w:r w:rsidR="00402A88">
        <w:rPr>
          <w:rFonts w:ascii="Times New Roman" w:eastAsia="TimesNew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eastAsia="TimesNewRoman" w:hAnsi="Times New Roman" w:cs="Times New Roman"/>
          <w:iCs/>
          <w:sz w:val="24"/>
          <w:szCs w:val="24"/>
          <w:lang w:val="en-US"/>
        </w:rPr>
        <w:t>the</w:t>
      </w:r>
      <w:r w:rsidRPr="00433B63">
        <w:rPr>
          <w:rFonts w:ascii="Times New Roman" w:eastAsia="TimesNewRoman" w:hAnsi="Times New Roman" w:cs="Times New Roman"/>
          <w:iCs/>
          <w:sz w:val="24"/>
          <w:szCs w:val="24"/>
          <w:lang w:val="en-US"/>
        </w:rPr>
        <w:t xml:space="preserve"> crisis in the US mortgage securities market.</w:t>
      </w:r>
    </w:p>
    <w:p w:rsidR="006E7886" w:rsidRPr="00060AFF" w:rsidRDefault="00082131" w:rsidP="006E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iCs/>
          <w:sz w:val="24"/>
          <w:szCs w:val="24"/>
          <w:lang w:val="en-US"/>
        </w:rPr>
      </w:pPr>
      <w:r w:rsidRPr="00DC5F0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This study addresses the current issue of the mortgage securitization market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development </w:t>
      </w:r>
      <w:r w:rsidRPr="00DC5F06">
        <w:rPr>
          <w:rFonts w:ascii="Times New Roman" w:eastAsia="TimesNewRoman" w:hAnsi="Times New Roman" w:cs="Times New Roman"/>
          <w:sz w:val="24"/>
          <w:szCs w:val="24"/>
          <w:lang w:val="en-US"/>
        </w:rPr>
        <w:t>in Russia.</w:t>
      </w:r>
      <w:r w:rsidR="00402A88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="006E7886" w:rsidRPr="003248ED">
        <w:rPr>
          <w:rFonts w:ascii="Times New Roman" w:eastAsia="TimesNewRoman" w:hAnsi="Times New Roman" w:cs="Times New Roman"/>
          <w:iCs/>
          <w:sz w:val="24"/>
          <w:szCs w:val="24"/>
          <w:lang w:val="en-US"/>
        </w:rPr>
        <w:t xml:space="preserve">Mortgage securitization in the Russian Federation is </w:t>
      </w:r>
      <w:r w:rsidR="006E7886">
        <w:rPr>
          <w:rFonts w:ascii="Times New Roman" w:eastAsia="TimesNewRoman" w:hAnsi="Times New Roman" w:cs="Times New Roman"/>
          <w:iCs/>
          <w:sz w:val="24"/>
          <w:szCs w:val="24"/>
          <w:lang w:val="en-US"/>
        </w:rPr>
        <w:t>performed</w:t>
      </w:r>
      <w:r w:rsidR="006E7886" w:rsidRPr="003248ED">
        <w:rPr>
          <w:rFonts w:ascii="Times New Roman" w:eastAsia="TimesNewRoman" w:hAnsi="Times New Roman" w:cs="Times New Roman"/>
          <w:iCs/>
          <w:sz w:val="24"/>
          <w:szCs w:val="24"/>
          <w:lang w:val="en-US"/>
        </w:rPr>
        <w:t xml:space="preserve"> exclusively by the largest banks,</w:t>
      </w:r>
      <w:r w:rsidR="006E7886">
        <w:rPr>
          <w:rFonts w:ascii="Times New Roman" w:eastAsia="TimesNewRoman" w:hAnsi="Times New Roman" w:cs="Times New Roman"/>
          <w:iCs/>
          <w:sz w:val="24"/>
          <w:szCs w:val="24"/>
          <w:lang w:val="en-US"/>
        </w:rPr>
        <w:t xml:space="preserve"> which</w:t>
      </w:r>
      <w:r w:rsidR="006E7886" w:rsidRPr="003248ED">
        <w:rPr>
          <w:rFonts w:ascii="Times New Roman" w:eastAsia="TimesNewRoman" w:hAnsi="Times New Roman" w:cs="Times New Roman"/>
          <w:iCs/>
          <w:sz w:val="24"/>
          <w:szCs w:val="24"/>
          <w:lang w:val="en-US"/>
        </w:rPr>
        <w:t xml:space="preserve"> raises </w:t>
      </w:r>
      <w:r w:rsidR="006E7886">
        <w:rPr>
          <w:rFonts w:ascii="Times New Roman" w:eastAsia="TimesNewRoman" w:hAnsi="Times New Roman" w:cs="Times New Roman"/>
          <w:iCs/>
          <w:sz w:val="24"/>
          <w:szCs w:val="24"/>
          <w:lang w:val="en-US"/>
        </w:rPr>
        <w:t>a</w:t>
      </w:r>
      <w:r w:rsidR="006E7886" w:rsidRPr="003248ED">
        <w:rPr>
          <w:rFonts w:ascii="Times New Roman" w:eastAsia="TimesNewRoman" w:hAnsi="Times New Roman" w:cs="Times New Roman"/>
          <w:iCs/>
          <w:sz w:val="24"/>
          <w:szCs w:val="24"/>
          <w:lang w:val="en-US"/>
        </w:rPr>
        <w:t xml:space="preserve"> question of assessing the benefits that it brings to these banks, as well as the feasibility of such transactions by other banks.</w:t>
      </w:r>
    </w:p>
    <w:p w:rsidR="00082131" w:rsidRPr="00082131" w:rsidRDefault="00082131" w:rsidP="006E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iCs/>
          <w:sz w:val="24"/>
          <w:szCs w:val="24"/>
          <w:lang w:val="en-US"/>
        </w:rPr>
      </w:pPr>
      <w:r w:rsidRPr="00DC5F0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The aim of the study is to analyze and estimate the average effect of mortgage securitization on the performance of Russian banks that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performed</w:t>
      </w:r>
      <w:r w:rsidRPr="00DC5F0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such transactions in the period from 2012 to 2018.</w:t>
      </w:r>
    </w:p>
    <w:p w:rsidR="00295C20" w:rsidRPr="006E7886" w:rsidRDefault="00295C20" w:rsidP="00295C2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</w:p>
    <w:p w:rsidR="009D74A2" w:rsidRPr="009D74A2" w:rsidRDefault="009D74A2" w:rsidP="009D74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  <w:proofErr w:type="gramStart"/>
      <w:r w:rsidRPr="004C22C2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Benefits and risks of securitization for the originator.</w:t>
      </w:r>
      <w:proofErr w:type="gramEnd"/>
      <w:r w:rsidRPr="004C22C2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9D74A2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Literature review.</w:t>
      </w:r>
      <w:proofErr w:type="gramEnd"/>
    </w:p>
    <w:p w:rsidR="00B5009E" w:rsidRPr="00B5009E" w:rsidRDefault="008A4FE4" w:rsidP="00B50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684CB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The results of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the prior </w:t>
      </w:r>
      <w:r w:rsidRPr="00684CB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foreign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research</w:t>
      </w:r>
      <w:r w:rsidRPr="00684CB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show that securitization provides the initiating bank (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i.e.</w:t>
      </w:r>
      <w:r w:rsidRPr="00684CB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originator) with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the </w:t>
      </w:r>
      <w:r w:rsidRPr="00684CB5">
        <w:rPr>
          <w:rFonts w:ascii="Times New Roman" w:eastAsia="TimesNewRoman" w:hAnsi="Times New Roman" w:cs="Times New Roman"/>
          <w:sz w:val="24"/>
          <w:szCs w:val="24"/>
          <w:lang w:val="en-US"/>
        </w:rPr>
        <w:t>opportunities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for an increase in </w:t>
      </w:r>
      <w:r w:rsidRPr="00684CB5">
        <w:rPr>
          <w:rFonts w:ascii="Times New Roman" w:eastAsia="TimesNewRoman" w:hAnsi="Times New Roman" w:cs="Times New Roman"/>
          <w:sz w:val="24"/>
          <w:szCs w:val="24"/>
          <w:lang w:val="en-US"/>
        </w:rPr>
        <w:t>liquidity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A4FE4">
        <w:rPr>
          <w:rFonts w:ascii="Corbel" w:eastAsia="TimesNewRoman" w:hAnsi="Corbel" w:cs="Times New Roman"/>
          <w:sz w:val="24"/>
          <w:szCs w:val="24"/>
          <w:lang w:val="en-US"/>
        </w:rPr>
        <w:t>[</w:t>
      </w:r>
      <w:r w:rsidRPr="00963924">
        <w:rPr>
          <w:rFonts w:ascii="Times New Roman" w:eastAsia="TimesNewRoman" w:hAnsi="Times New Roman" w:cs="Times New Roman"/>
          <w:sz w:val="24"/>
          <w:szCs w:val="24"/>
          <w:lang w:val="en-US"/>
        </w:rPr>
        <w:t>Cardone</w:t>
      </w:r>
      <w:r w:rsidRPr="008A4FE4">
        <w:rPr>
          <w:rFonts w:ascii="Times New Roman" w:eastAsia="TimesNewRoman" w:hAnsi="Times New Roman" w:cs="Times New Roman"/>
          <w:sz w:val="24"/>
          <w:szCs w:val="24"/>
          <w:lang w:val="en-US"/>
        </w:rPr>
        <w:t>-</w:t>
      </w:r>
      <w:r w:rsidRPr="00963924">
        <w:rPr>
          <w:rFonts w:ascii="Times New Roman" w:eastAsia="TimesNewRoman" w:hAnsi="Times New Roman" w:cs="Times New Roman"/>
          <w:sz w:val="24"/>
          <w:szCs w:val="24"/>
          <w:lang w:val="en-US"/>
        </w:rPr>
        <w:t>Riportella</w:t>
      </w:r>
      <w:r w:rsidRPr="008A4FE4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r w:rsidRPr="00963924">
        <w:rPr>
          <w:rFonts w:ascii="Times New Roman" w:eastAsia="TimesNewRoman" w:hAnsi="Times New Roman" w:cs="Times New Roman"/>
          <w:sz w:val="24"/>
          <w:szCs w:val="24"/>
          <w:lang w:val="en-US"/>
        </w:rPr>
        <w:t>Samaniego</w:t>
      </w:r>
      <w:r w:rsidRPr="008A4FE4">
        <w:rPr>
          <w:rFonts w:ascii="Times New Roman" w:eastAsia="TimesNewRoman" w:hAnsi="Times New Roman" w:cs="Times New Roman"/>
          <w:sz w:val="24"/>
          <w:szCs w:val="24"/>
          <w:lang w:val="en-US"/>
        </w:rPr>
        <w:t>-</w:t>
      </w:r>
      <w:r w:rsidRPr="00963924">
        <w:rPr>
          <w:rFonts w:ascii="Times New Roman" w:eastAsia="TimesNewRoman" w:hAnsi="Times New Roman" w:cs="Times New Roman"/>
          <w:sz w:val="24"/>
          <w:szCs w:val="24"/>
          <w:lang w:val="en-US"/>
        </w:rPr>
        <w:t>Medina</w:t>
      </w:r>
      <w:r w:rsidRPr="008A4FE4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r w:rsidRPr="00963924">
        <w:rPr>
          <w:rFonts w:ascii="Times New Roman" w:eastAsia="TimesNewRoman" w:hAnsi="Times New Roman" w:cs="Times New Roman"/>
          <w:sz w:val="24"/>
          <w:szCs w:val="24"/>
          <w:lang w:val="en-US"/>
        </w:rPr>
        <w:t>Trujillo</w:t>
      </w:r>
      <w:r w:rsidRPr="008A4FE4">
        <w:rPr>
          <w:rFonts w:ascii="Times New Roman" w:eastAsia="TimesNewRoman" w:hAnsi="Times New Roman" w:cs="Times New Roman"/>
          <w:sz w:val="24"/>
          <w:szCs w:val="24"/>
          <w:lang w:val="en-US"/>
        </w:rPr>
        <w:t>-</w:t>
      </w:r>
      <w:r w:rsidRPr="00963924">
        <w:rPr>
          <w:rFonts w:ascii="Times New Roman" w:eastAsia="TimesNewRoman" w:hAnsi="Times New Roman" w:cs="Times New Roman"/>
          <w:sz w:val="24"/>
          <w:szCs w:val="24"/>
          <w:lang w:val="en-US"/>
        </w:rPr>
        <w:t>Ponce</w:t>
      </w:r>
      <w:r w:rsidRPr="008A4FE4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2010; </w:t>
      </w:r>
      <w:hyperlink r:id="rId8" w:history="1">
        <w:r w:rsidRPr="0061303F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L</w:t>
        </w:r>
        <w:r w:rsidRPr="008A4FE4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ó</w:t>
        </w:r>
        <w:r w:rsidRPr="0061303F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pez</w:t>
        </w:r>
        <w:r w:rsidRPr="008A4FE4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-</w:t>
        </w:r>
        <w:r w:rsidRPr="0061303F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Andi</w:t>
        </w:r>
        <w:r w:rsidRPr="008A4FE4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ó</w:t>
        </w:r>
        <w:r w:rsidRPr="0061303F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n</w:t>
        </w:r>
      </w:hyperlink>
      <w:r w:rsidRPr="008A4F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1303F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8A4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303F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8A4FE4">
        <w:rPr>
          <w:rFonts w:ascii="Times New Roman" w:hAnsi="Times New Roman" w:cs="Times New Roman"/>
          <w:sz w:val="24"/>
          <w:szCs w:val="24"/>
          <w:lang w:val="en-US"/>
        </w:rPr>
        <w:t>., 2018]</w:t>
      </w:r>
      <w:r w:rsidRPr="00684CB5">
        <w:rPr>
          <w:rFonts w:ascii="Times New Roman" w:eastAsia="TimesNewRoman" w:hAnsi="Times New Roman" w:cs="Times New Roman"/>
          <w:sz w:val="24"/>
          <w:szCs w:val="24"/>
          <w:lang w:val="en-US"/>
        </w:rPr>
        <w:t>, more flexible risk management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A4FE4">
        <w:rPr>
          <w:rFonts w:ascii="Corbel" w:hAnsi="Corbel" w:cs="Times New Roman"/>
          <w:color w:val="000000"/>
          <w:sz w:val="24"/>
          <w:szCs w:val="24"/>
          <w:shd w:val="clear" w:color="auto" w:fill="FFFFFF"/>
          <w:lang w:val="en-US"/>
        </w:rPr>
        <w:t>[</w:t>
      </w:r>
      <w:r w:rsidRPr="003F690D">
        <w:rPr>
          <w:rFonts w:ascii="Times New Roman" w:eastAsia="TimesNewRoman" w:hAnsi="Times New Roman" w:cs="Times New Roman"/>
          <w:sz w:val="24"/>
          <w:szCs w:val="24"/>
          <w:lang w:val="en-US"/>
        </w:rPr>
        <w:t>Goderis</w:t>
      </w:r>
      <w:r w:rsidRPr="008A4FE4">
        <w:rPr>
          <w:rFonts w:ascii="Times New Roman" w:eastAsia="TimesNewRoman" w:hAnsi="Times New Roman" w:cs="Times New Roman"/>
          <w:sz w:val="24"/>
          <w:szCs w:val="24"/>
          <w:lang w:val="en-US"/>
        </w:rPr>
        <w:t>,</w:t>
      </w:r>
      <w:r w:rsidRPr="008A4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690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8A4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690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8A4FE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8A4FE4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2007; </w:t>
      </w:r>
      <w:r w:rsidRPr="003F690D">
        <w:rPr>
          <w:rFonts w:ascii="Times New Roman" w:eastAsia="TimesNewRoman" w:hAnsi="Times New Roman" w:cs="Times New Roman"/>
          <w:sz w:val="24"/>
          <w:szCs w:val="24"/>
          <w:lang w:val="en-US"/>
        </w:rPr>
        <w:t>Mendon</w:t>
      </w:r>
      <w:r w:rsidRPr="008A4FE4">
        <w:rPr>
          <w:rFonts w:ascii="Times New Roman" w:eastAsia="TimesNewRoman" w:hAnsi="Times New Roman" w:cs="Times New Roman"/>
          <w:sz w:val="24"/>
          <w:szCs w:val="24"/>
          <w:lang w:val="en-US"/>
        </w:rPr>
        <w:t>ç</w:t>
      </w:r>
      <w:r w:rsidRPr="003F690D">
        <w:rPr>
          <w:rFonts w:ascii="Times New Roman" w:eastAsia="TimesNewRoman" w:hAnsi="Times New Roman" w:cs="Times New Roman"/>
          <w:sz w:val="24"/>
          <w:szCs w:val="24"/>
          <w:lang w:val="en-US"/>
        </w:rPr>
        <w:t>a</w:t>
      </w:r>
      <w:r w:rsidRPr="008A4FE4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r w:rsidRPr="003F690D">
        <w:rPr>
          <w:rFonts w:ascii="Times New Roman" w:eastAsia="TimesNewRoman" w:hAnsi="Times New Roman" w:cs="Times New Roman"/>
          <w:sz w:val="24"/>
          <w:szCs w:val="24"/>
          <w:lang w:val="en-US"/>
        </w:rPr>
        <w:t>Barcelos</w:t>
      </w:r>
      <w:r w:rsidRPr="008A4FE4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2015; </w:t>
      </w:r>
      <w:hyperlink r:id="rId9" w:history="1">
        <w:r w:rsidRPr="003F690D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Kara</w:t>
        </w:r>
      </w:hyperlink>
      <w:r w:rsidRPr="008A4F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0" w:history="1">
        <w:r w:rsidRPr="003F690D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Altunba</w:t>
        </w:r>
        <w:r w:rsidRPr="008A4FE4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ş</w:t>
        </w:r>
      </w:hyperlink>
      <w:r w:rsidRPr="008A4F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1" w:history="1">
        <w:r w:rsidRPr="003F690D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Ozkan</w:t>
        </w:r>
      </w:hyperlink>
      <w:r w:rsidRPr="008A4F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A4F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2016; </w:t>
      </w:r>
      <w:r w:rsidRPr="003F690D">
        <w:rPr>
          <w:rFonts w:ascii="Times New Roman" w:eastAsia="TimesNewRoman" w:hAnsi="Times New Roman" w:cs="Times New Roman"/>
          <w:sz w:val="24"/>
          <w:szCs w:val="24"/>
          <w:lang w:val="en-US"/>
        </w:rPr>
        <w:t>Wu</w:t>
      </w:r>
      <w:r w:rsidRPr="008A4FE4">
        <w:rPr>
          <w:rFonts w:ascii="Times New Roman" w:eastAsia="TimesNewRoman" w:hAnsi="Times New Roman" w:cs="Times New Roman"/>
          <w:sz w:val="24"/>
          <w:szCs w:val="24"/>
          <w:lang w:val="en-US"/>
        </w:rPr>
        <w:t>, 2018]</w:t>
      </w:r>
      <w:r w:rsidRPr="00684CB5">
        <w:rPr>
          <w:rFonts w:ascii="Times New Roman" w:eastAsia="TimesNewRoman" w:hAnsi="Times New Roman" w:cs="Times New Roman"/>
          <w:sz w:val="24"/>
          <w:szCs w:val="24"/>
          <w:lang w:val="en-US"/>
        </w:rPr>
        <w:t>, lower funding costs</w:t>
      </w:r>
      <w:r w:rsidR="00B5009E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="00B5009E" w:rsidRPr="00B5009E">
        <w:rPr>
          <w:rFonts w:ascii="Times New Roman" w:eastAsia="TimesNewRoman" w:hAnsi="Times New Roman" w:cs="Times New Roman"/>
          <w:sz w:val="24"/>
          <w:szCs w:val="24"/>
          <w:lang w:val="en-US"/>
        </w:rPr>
        <w:t>[</w:t>
      </w:r>
      <w:r w:rsidR="00B5009E" w:rsidRPr="003F6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Casu</w:t>
      </w:r>
      <w:r w:rsidR="00B5009E" w:rsidRPr="00B5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B5009E" w:rsidRPr="003F6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Sarkisyan</w:t>
      </w:r>
      <w:r w:rsidR="00B5009E" w:rsidRPr="00B5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2015; </w:t>
      </w:r>
      <w:r w:rsidR="00B5009E" w:rsidRPr="003F690D">
        <w:rPr>
          <w:rFonts w:ascii="Times New Roman" w:eastAsia="TimesNewRoman" w:hAnsi="Times New Roman" w:cs="Times New Roman"/>
          <w:sz w:val="24"/>
          <w:szCs w:val="24"/>
          <w:lang w:val="en-US"/>
        </w:rPr>
        <w:t>Ngwu</w:t>
      </w:r>
      <w:r w:rsidR="00B5009E" w:rsidRPr="00B5009E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r w:rsidR="00B5009E" w:rsidRPr="003F690D">
        <w:rPr>
          <w:rFonts w:ascii="Times New Roman" w:eastAsia="TimesNewRoman" w:hAnsi="Times New Roman" w:cs="Times New Roman"/>
          <w:sz w:val="24"/>
          <w:szCs w:val="24"/>
          <w:lang w:val="en-US"/>
        </w:rPr>
        <w:t>Bavoso</w:t>
      </w:r>
      <w:r w:rsidR="00B5009E" w:rsidRPr="00B5009E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r w:rsidR="00B5009E" w:rsidRPr="003F690D">
        <w:rPr>
          <w:rFonts w:ascii="Times New Roman" w:eastAsia="TimesNewRoman" w:hAnsi="Times New Roman" w:cs="Times New Roman"/>
          <w:sz w:val="24"/>
          <w:szCs w:val="24"/>
          <w:lang w:val="en-US"/>
        </w:rPr>
        <w:t>Chen</w:t>
      </w:r>
      <w:r w:rsidR="00B5009E" w:rsidRPr="00B5009E">
        <w:rPr>
          <w:rFonts w:ascii="Times New Roman" w:eastAsia="TimesNewRoman" w:hAnsi="Times New Roman" w:cs="Times New Roman"/>
          <w:sz w:val="24"/>
          <w:szCs w:val="24"/>
          <w:lang w:val="en-US"/>
        </w:rPr>
        <w:t>, 2017]</w:t>
      </w:r>
      <w:r w:rsidRPr="00684CB5">
        <w:rPr>
          <w:rFonts w:ascii="Times New Roman" w:eastAsia="TimesNewRoman" w:hAnsi="Times New Roman" w:cs="Times New Roman"/>
          <w:sz w:val="24"/>
          <w:szCs w:val="24"/>
          <w:lang w:val="en-US"/>
        </w:rPr>
        <w:t>, regulatory arbitrage</w:t>
      </w:r>
      <w:r w:rsidR="00B5009E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="00B5009E" w:rsidRPr="00B5009E">
        <w:rPr>
          <w:rFonts w:ascii="Corbel" w:eastAsia="TimesNewRoman" w:hAnsi="Corbel" w:cs="Times New Roman"/>
          <w:sz w:val="24"/>
          <w:szCs w:val="24"/>
          <w:lang w:val="en-US"/>
        </w:rPr>
        <w:t>[</w:t>
      </w:r>
      <w:r w:rsidR="00B5009E" w:rsidRPr="00956A62">
        <w:rPr>
          <w:rFonts w:ascii="Times New Roman" w:eastAsia="TimesNewRoman" w:hAnsi="Times New Roman" w:cs="Times New Roman"/>
          <w:sz w:val="24"/>
          <w:szCs w:val="24"/>
          <w:lang w:val="en-US"/>
        </w:rPr>
        <w:t>Demyanyk</w:t>
      </w:r>
      <w:r w:rsidR="00B5009E" w:rsidRPr="00B5009E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r w:rsidR="00B5009E" w:rsidRPr="00956A62">
        <w:rPr>
          <w:rFonts w:ascii="Times New Roman" w:eastAsia="TimesNewRoman" w:hAnsi="Times New Roman" w:cs="Times New Roman"/>
          <w:sz w:val="24"/>
          <w:szCs w:val="24"/>
          <w:lang w:val="en-US"/>
        </w:rPr>
        <w:t>Loutskina</w:t>
      </w:r>
      <w:r w:rsidR="00B5009E" w:rsidRPr="00B5009E">
        <w:rPr>
          <w:rFonts w:ascii="Times New Roman" w:eastAsia="TimesNewRoman" w:hAnsi="Times New Roman" w:cs="Times New Roman"/>
          <w:sz w:val="24"/>
          <w:szCs w:val="24"/>
          <w:lang w:val="en-US"/>
        </w:rPr>
        <w:t>, 2016</w:t>
      </w:r>
      <w:r w:rsidR="00B5009E" w:rsidRPr="00B5009E">
        <w:rPr>
          <w:rFonts w:ascii="Corbel" w:eastAsia="TimesNewRoman" w:hAnsi="Corbel" w:cs="Times New Roman"/>
          <w:sz w:val="24"/>
          <w:szCs w:val="24"/>
          <w:lang w:val="en-US"/>
        </w:rPr>
        <w:t>]</w:t>
      </w:r>
      <w:r w:rsidR="00B5009E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684CB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and increased profitability </w:t>
      </w:r>
      <w:r w:rsidR="00B5009E" w:rsidRPr="00B5009E">
        <w:rPr>
          <w:rFonts w:ascii="Corbel" w:eastAsia="TimesNewRoman" w:hAnsi="Corbel" w:cs="Times New Roman"/>
          <w:sz w:val="24"/>
          <w:szCs w:val="24"/>
          <w:lang w:val="en-US"/>
        </w:rPr>
        <w:t>[</w:t>
      </w:r>
      <w:r w:rsidR="00B5009E" w:rsidRPr="00963924">
        <w:rPr>
          <w:rFonts w:ascii="Times New Roman" w:eastAsia="TimesNewRoman" w:hAnsi="Times New Roman" w:cs="Times New Roman"/>
          <w:sz w:val="24"/>
          <w:szCs w:val="24"/>
          <w:lang w:val="en-US"/>
        </w:rPr>
        <w:t>Bannier</w:t>
      </w:r>
      <w:r w:rsidR="00B5009E" w:rsidRPr="00B5009E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r w:rsidR="00B5009E" w:rsidRPr="00963924">
        <w:rPr>
          <w:rFonts w:ascii="Times New Roman" w:eastAsia="TimesNewRoman" w:hAnsi="Times New Roman" w:cs="Times New Roman"/>
          <w:sz w:val="24"/>
          <w:szCs w:val="24"/>
          <w:lang w:val="en-US"/>
        </w:rPr>
        <w:t>H</w:t>
      </w:r>
      <w:r w:rsidR="00B5009E" w:rsidRPr="00B5009E">
        <w:rPr>
          <w:rFonts w:ascii="Times New Roman" w:eastAsia="TimesNewRoman" w:hAnsi="Times New Roman" w:cs="Times New Roman"/>
          <w:sz w:val="24"/>
          <w:szCs w:val="24"/>
          <w:lang w:val="en-US"/>
        </w:rPr>
        <w:t>ä</w:t>
      </w:r>
      <w:r w:rsidR="00B5009E" w:rsidRPr="00963924">
        <w:rPr>
          <w:rFonts w:ascii="Times New Roman" w:eastAsia="TimesNewRoman" w:hAnsi="Times New Roman" w:cs="Times New Roman"/>
          <w:sz w:val="24"/>
          <w:szCs w:val="24"/>
          <w:lang w:val="en-US"/>
        </w:rPr>
        <w:t>nsel</w:t>
      </w:r>
      <w:r w:rsidR="00B5009E" w:rsidRPr="00B5009E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2008; </w:t>
      </w:r>
      <w:r w:rsidR="00B5009E" w:rsidRPr="00963924">
        <w:rPr>
          <w:rFonts w:ascii="Times New Roman" w:eastAsia="TimesNewRoman" w:hAnsi="Times New Roman" w:cs="Times New Roman"/>
          <w:sz w:val="24"/>
          <w:szCs w:val="24"/>
          <w:lang w:val="en-US"/>
        </w:rPr>
        <w:t>Jiangli</w:t>
      </w:r>
      <w:r w:rsidR="00B5009E" w:rsidRPr="00B5009E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r w:rsidR="00B5009E" w:rsidRPr="00963924">
        <w:rPr>
          <w:rFonts w:ascii="Times New Roman" w:eastAsia="TimesNewRoman" w:hAnsi="Times New Roman" w:cs="Times New Roman"/>
          <w:sz w:val="24"/>
          <w:szCs w:val="24"/>
          <w:lang w:val="en-US"/>
        </w:rPr>
        <w:t>Pritsker</w:t>
      </w:r>
      <w:r w:rsidR="00B5009E" w:rsidRPr="00B5009E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2008; </w:t>
      </w:r>
      <w:r w:rsidR="00B5009E" w:rsidRPr="003F690D">
        <w:rPr>
          <w:rFonts w:ascii="Times New Roman" w:eastAsia="TimesNewRoman" w:hAnsi="Times New Roman" w:cs="Times New Roman"/>
          <w:sz w:val="24"/>
          <w:szCs w:val="24"/>
          <w:lang w:val="en-US"/>
        </w:rPr>
        <w:t>Mian</w:t>
      </w:r>
      <w:r w:rsidR="00B5009E" w:rsidRPr="00B5009E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r w:rsidR="00B5009E" w:rsidRPr="003F690D">
        <w:rPr>
          <w:rFonts w:ascii="Times New Roman" w:eastAsia="TimesNewRoman" w:hAnsi="Times New Roman" w:cs="Times New Roman"/>
          <w:sz w:val="24"/>
          <w:szCs w:val="24"/>
          <w:lang w:val="en-US"/>
        </w:rPr>
        <w:t>Sufi</w:t>
      </w:r>
      <w:r w:rsidR="00B5009E" w:rsidRPr="00B5009E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2009; </w:t>
      </w:r>
      <w:r w:rsidR="00B5009E" w:rsidRPr="00963924">
        <w:rPr>
          <w:rFonts w:ascii="Times New Roman" w:eastAsia="TimesNewRoman" w:hAnsi="Times New Roman" w:cs="Times New Roman"/>
          <w:sz w:val="24"/>
          <w:szCs w:val="24"/>
          <w:lang w:val="en-US"/>
        </w:rPr>
        <w:t>Affinito</w:t>
      </w:r>
      <w:r w:rsidR="00B5009E" w:rsidRPr="00B5009E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r w:rsidR="00B5009E" w:rsidRPr="00963924">
        <w:rPr>
          <w:rFonts w:ascii="Times New Roman" w:eastAsia="TimesNewRoman" w:hAnsi="Times New Roman" w:cs="Times New Roman"/>
          <w:sz w:val="24"/>
          <w:szCs w:val="24"/>
          <w:lang w:val="en-US"/>
        </w:rPr>
        <w:t>Tagliaferri</w:t>
      </w:r>
      <w:r w:rsidR="00B5009E" w:rsidRPr="00B5009E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2010; </w:t>
      </w:r>
      <w:r w:rsidR="00B5009E" w:rsidRPr="00963924">
        <w:rPr>
          <w:rFonts w:ascii="Times New Roman" w:eastAsia="TimesNewRoman" w:hAnsi="Times New Roman" w:cs="Times New Roman"/>
          <w:sz w:val="24"/>
          <w:szCs w:val="24"/>
          <w:lang w:val="en-US"/>
        </w:rPr>
        <w:t>Casu</w:t>
      </w:r>
      <w:r w:rsidR="00B5009E" w:rsidRPr="00B5009E">
        <w:rPr>
          <w:rFonts w:ascii="Times New Roman" w:eastAsia="TimesNewRoman" w:hAnsi="Times New Roman" w:cs="Times New Roman"/>
          <w:sz w:val="24"/>
          <w:szCs w:val="24"/>
          <w:lang w:val="en-US"/>
        </w:rPr>
        <w:t>,</w:t>
      </w:r>
      <w:r w:rsidR="00B5009E" w:rsidRPr="00B50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09E" w:rsidRPr="0061303F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B5009E" w:rsidRPr="00B50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09E" w:rsidRPr="0061303F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B5009E" w:rsidRPr="00B5009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="00B5009E" w:rsidRPr="00B5009E">
        <w:rPr>
          <w:rFonts w:ascii="Times New Roman" w:eastAsia="TimesNewRoman" w:hAnsi="Times New Roman" w:cs="Times New Roman"/>
          <w:sz w:val="24"/>
          <w:szCs w:val="24"/>
          <w:lang w:val="en-US"/>
        </w:rPr>
        <w:t>2013</w:t>
      </w:r>
      <w:r w:rsidR="00B5009E" w:rsidRPr="00B5009E">
        <w:rPr>
          <w:rFonts w:ascii="Corbel" w:eastAsia="TimesNewRoman" w:hAnsi="Corbel" w:cs="Times New Roman"/>
          <w:sz w:val="24"/>
          <w:szCs w:val="24"/>
          <w:lang w:val="en-US"/>
        </w:rPr>
        <w:t>]</w:t>
      </w:r>
      <w:r w:rsidR="00B5009E" w:rsidRPr="00B5009E">
        <w:rPr>
          <w:rFonts w:ascii="Times New Roman" w:eastAsia="TimesNewRoman" w:hAnsi="Times New Roman" w:cs="Times New Roman"/>
          <w:sz w:val="24"/>
          <w:szCs w:val="24"/>
          <w:lang w:val="en-US"/>
        </w:rPr>
        <w:t>.</w:t>
      </w:r>
    </w:p>
    <w:p w:rsidR="00AF28E3" w:rsidRPr="00AF28E3" w:rsidRDefault="008A4FE4" w:rsidP="00AF2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i/>
          <w:iCs/>
          <w:sz w:val="24"/>
          <w:szCs w:val="24"/>
          <w:lang w:val="en-US"/>
        </w:rPr>
      </w:pPr>
      <w:r w:rsidRPr="00A43EC3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Possible securitization risks are associated with the problem of information asymmetry, since the originator,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being better</w:t>
      </w:r>
      <w:r w:rsidRPr="00A43EC3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informed about the quality of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the </w:t>
      </w:r>
      <w:r w:rsidRPr="00A43EC3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securitized assets, can use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this</w:t>
      </w:r>
      <w:r w:rsidRPr="00A43EC3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advantage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when, among </w:t>
      </w:r>
      <w:r w:rsidRPr="00A43EC3">
        <w:rPr>
          <w:rFonts w:ascii="Times New Roman" w:eastAsia="TimesNewRoman" w:hAnsi="Times New Roman" w:cs="Times New Roman"/>
          <w:sz w:val="24"/>
          <w:szCs w:val="24"/>
          <w:lang w:val="en-US"/>
        </w:rPr>
        <w:t>th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e assets </w:t>
      </w:r>
      <w:r w:rsidRPr="00A43EC3">
        <w:rPr>
          <w:rFonts w:ascii="Times New Roman" w:eastAsia="TimesNewRoman" w:hAnsi="Times New Roman" w:cs="Times New Roman"/>
          <w:sz w:val="24"/>
          <w:szCs w:val="24"/>
          <w:lang w:val="en-US"/>
        </w:rPr>
        <w:t>held on the balance sheet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picking and </w:t>
      </w:r>
      <w:r w:rsidRPr="00A43EC3">
        <w:rPr>
          <w:rFonts w:ascii="Times New Roman" w:eastAsia="TimesNewRoman" w:hAnsi="Times New Roman" w:cs="Times New Roman"/>
          <w:sz w:val="24"/>
          <w:szCs w:val="24"/>
          <w:lang w:val="en-US"/>
        </w:rPr>
        <w:t>includ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ing</w:t>
      </w:r>
      <w:r w:rsidRPr="00A43EC3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in the pool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for sale the credits of a lower quality</w:t>
      </w:r>
      <w:r w:rsidR="00AF28E3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="00AF28E3" w:rsidRPr="00AF28E3">
        <w:rPr>
          <w:rFonts w:ascii="Corbel" w:eastAsia="TimesNewRoman" w:hAnsi="Corbel" w:cs="Times New Roman"/>
          <w:sz w:val="24"/>
          <w:szCs w:val="24"/>
          <w:lang w:val="en-US"/>
        </w:rPr>
        <w:t>[</w:t>
      </w:r>
      <w:hyperlink r:id="rId12" w:tgtFrame="_blank" w:tooltip="View other papers by this author" w:history="1">
        <w:r w:rsidR="00AF28E3" w:rsidRPr="00E746B0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Wallace</w:t>
        </w:r>
      </w:hyperlink>
      <w:r w:rsidR="00AF28E3" w:rsidRPr="00AF28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F28E3" w:rsidRPr="00AF28E3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2009; </w:t>
      </w:r>
      <w:r w:rsidR="00AF28E3" w:rsidRPr="00963924">
        <w:rPr>
          <w:rFonts w:ascii="Times New Roman" w:eastAsia="TimesNewRoman" w:hAnsi="Times New Roman" w:cs="Times New Roman"/>
          <w:sz w:val="24"/>
          <w:szCs w:val="24"/>
          <w:lang w:val="en-US"/>
        </w:rPr>
        <w:t>An</w:t>
      </w:r>
      <w:r w:rsidR="00AF28E3" w:rsidRPr="00AF28E3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r w:rsidR="00AF28E3" w:rsidRPr="00963924">
        <w:rPr>
          <w:rFonts w:ascii="Times New Roman" w:eastAsia="TimesNewRoman" w:hAnsi="Times New Roman" w:cs="Times New Roman"/>
          <w:sz w:val="24"/>
          <w:szCs w:val="24"/>
          <w:lang w:val="en-US"/>
        </w:rPr>
        <w:t>Deng</w:t>
      </w:r>
      <w:r w:rsidR="00AF28E3" w:rsidRPr="00AF28E3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r w:rsidR="00AF28E3" w:rsidRPr="00963924">
        <w:rPr>
          <w:rFonts w:ascii="Times New Roman" w:eastAsia="TimesNewRoman" w:hAnsi="Times New Roman" w:cs="Times New Roman"/>
          <w:sz w:val="24"/>
          <w:szCs w:val="24"/>
          <w:lang w:val="en-US"/>
        </w:rPr>
        <w:t>Gabriel</w:t>
      </w:r>
      <w:r w:rsidR="00AF28E3" w:rsidRPr="00AF28E3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2011; </w:t>
      </w:r>
      <w:r w:rsidR="00AF28E3" w:rsidRPr="00963924">
        <w:rPr>
          <w:rFonts w:ascii="Times New Roman" w:eastAsia="TimesNewRoman" w:hAnsi="Times New Roman" w:cs="Times New Roman"/>
          <w:sz w:val="24"/>
          <w:szCs w:val="24"/>
          <w:lang w:val="en-US"/>
        </w:rPr>
        <w:t>Agarwal</w:t>
      </w:r>
      <w:r w:rsidR="00AF28E3" w:rsidRPr="00AF28E3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r w:rsidR="00AF28E3" w:rsidRPr="00963924">
        <w:rPr>
          <w:rFonts w:ascii="Times New Roman" w:eastAsia="TimesNewRoman" w:hAnsi="Times New Roman" w:cs="Times New Roman"/>
          <w:sz w:val="24"/>
          <w:szCs w:val="24"/>
          <w:lang w:val="en-US"/>
        </w:rPr>
        <w:t>Chang</w:t>
      </w:r>
      <w:r w:rsidR="00AF28E3" w:rsidRPr="00AF28E3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r w:rsidR="00AF28E3" w:rsidRPr="00963924">
        <w:rPr>
          <w:rFonts w:ascii="Times New Roman" w:eastAsia="TimesNewRoman" w:hAnsi="Times New Roman" w:cs="Times New Roman"/>
          <w:sz w:val="24"/>
          <w:szCs w:val="24"/>
          <w:lang w:val="en-US"/>
        </w:rPr>
        <w:t>Yavas</w:t>
      </w:r>
      <w:r w:rsidR="00AF28E3" w:rsidRPr="00AF28E3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2012; </w:t>
      </w:r>
      <w:r w:rsidR="00AF28E3" w:rsidRPr="00963924">
        <w:rPr>
          <w:rFonts w:ascii="Times New Roman" w:eastAsia="TimesNewRoman" w:hAnsi="Times New Roman" w:cs="Times New Roman"/>
          <w:sz w:val="24"/>
          <w:szCs w:val="24"/>
          <w:lang w:val="en-US"/>
        </w:rPr>
        <w:t>Benmelech</w:t>
      </w:r>
      <w:r w:rsidR="00AF28E3" w:rsidRPr="00AF28E3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r w:rsidR="00AF28E3" w:rsidRPr="00963924">
        <w:rPr>
          <w:rFonts w:ascii="Times New Roman" w:eastAsia="TimesNewRoman" w:hAnsi="Times New Roman" w:cs="Times New Roman"/>
          <w:sz w:val="24"/>
          <w:szCs w:val="24"/>
          <w:lang w:val="en-US"/>
        </w:rPr>
        <w:t>Dlugosz</w:t>
      </w:r>
      <w:r w:rsidR="00AF28E3" w:rsidRPr="00AF28E3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r w:rsidR="00AF28E3" w:rsidRPr="00963924">
        <w:rPr>
          <w:rFonts w:ascii="Times New Roman" w:eastAsia="TimesNewRoman" w:hAnsi="Times New Roman" w:cs="Times New Roman"/>
          <w:sz w:val="24"/>
          <w:szCs w:val="24"/>
          <w:lang w:val="en-US"/>
        </w:rPr>
        <w:t>Ivashina</w:t>
      </w:r>
      <w:r w:rsidR="00AF28E3" w:rsidRPr="00AF28E3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2012; </w:t>
      </w:r>
      <w:r w:rsidR="00AF28E3" w:rsidRPr="00E746B0">
        <w:rPr>
          <w:rFonts w:ascii="Times New Roman" w:eastAsia="TimesNewRoman" w:hAnsi="Times New Roman" w:cs="Times New Roman"/>
          <w:sz w:val="24"/>
          <w:szCs w:val="24"/>
          <w:lang w:val="en-US"/>
        </w:rPr>
        <w:t>Downing</w:t>
      </w:r>
      <w:r w:rsidR="00AF28E3" w:rsidRPr="00AF28E3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r w:rsidR="00AF28E3" w:rsidRPr="00E746B0">
        <w:rPr>
          <w:rFonts w:ascii="Times New Roman" w:eastAsia="TimesNewRoman" w:hAnsi="Times New Roman" w:cs="Times New Roman"/>
          <w:sz w:val="24"/>
          <w:szCs w:val="24"/>
          <w:lang w:val="en-US"/>
        </w:rPr>
        <w:t>Jaffee</w:t>
      </w:r>
      <w:r w:rsidR="00AF28E3" w:rsidRPr="00AF28E3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r w:rsidR="00AF28E3" w:rsidRPr="009E54D2">
        <w:rPr>
          <w:rFonts w:ascii="Times New Roman" w:hAnsi="Times New Roman" w:cs="Times New Roman"/>
          <w:sz w:val="24"/>
          <w:szCs w:val="24"/>
          <w:lang w:val="en-US"/>
        </w:rPr>
        <w:t>Ibanez</w:t>
      </w:r>
      <w:r w:rsidR="00AF28E3" w:rsidRPr="00AF28E3">
        <w:rPr>
          <w:rFonts w:ascii="Times New Roman" w:hAnsi="Times New Roman" w:cs="Times New Roman"/>
          <w:sz w:val="24"/>
          <w:szCs w:val="24"/>
          <w:lang w:val="en-US"/>
        </w:rPr>
        <w:t>, 2016</w:t>
      </w:r>
      <w:r w:rsidR="00AF28E3" w:rsidRPr="00AF28E3">
        <w:rPr>
          <w:rFonts w:ascii="Corbel" w:hAnsi="Corbel" w:cs="Times New Roman"/>
          <w:sz w:val="24"/>
          <w:szCs w:val="24"/>
          <w:lang w:val="en-US"/>
        </w:rPr>
        <w:t>]</w:t>
      </w:r>
      <w:r w:rsidR="00AF28E3" w:rsidRPr="00AF28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2A88" w:rsidRDefault="00402A88" w:rsidP="00053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</w:p>
    <w:p w:rsidR="000530EA" w:rsidRPr="000530EA" w:rsidRDefault="000530EA" w:rsidP="00053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  <w:r w:rsidRPr="00186381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Methodology</w:t>
      </w:r>
      <w:r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</w:t>
      </w:r>
      <w:r w:rsidRPr="00186381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and</w:t>
      </w:r>
      <w:r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</w:t>
      </w:r>
      <w:r w:rsidRPr="00186381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research</w:t>
      </w:r>
      <w:r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</w:t>
      </w:r>
      <w:r w:rsidRPr="00186381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base</w:t>
      </w:r>
    </w:p>
    <w:p w:rsidR="000530EA" w:rsidRPr="000530EA" w:rsidRDefault="000530EA" w:rsidP="00053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eastAsia="TimesNewRoman" w:cs="TimesNewRoman"/>
          <w:i/>
          <w:iCs/>
          <w:sz w:val="28"/>
          <w:szCs w:val="28"/>
          <w:lang w:val="en-US"/>
        </w:rPr>
      </w:pPr>
      <w:r>
        <w:rPr>
          <w:rFonts w:ascii="Times New Roman" w:eastAsia="TimesNewRoman" w:hAnsi="Times New Roman" w:cs="Times New Roman"/>
          <w:sz w:val="24"/>
          <w:szCs w:val="24"/>
          <w:lang w:val="en-US"/>
        </w:rPr>
        <w:t>In order to estimate</w:t>
      </w:r>
      <w:r w:rsidRPr="00154FB2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the effect of exposure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it is widely used</w:t>
      </w:r>
      <w:r w:rsidRPr="00154FB2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the method of selecting a control group according to </w:t>
      </w:r>
      <w:r w:rsidRPr="000530EA">
        <w:rPr>
          <w:rFonts w:ascii="Times New Roman" w:eastAsia="TimesNewRoman" w:hAnsi="Times New Roman" w:cs="Times New Roman"/>
          <w:i/>
          <w:sz w:val="24"/>
          <w:szCs w:val="24"/>
          <w:lang w:val="en-US"/>
        </w:rPr>
        <w:t xml:space="preserve">the Propensity Score Matching </w:t>
      </w:r>
      <w:r w:rsidRPr="000530EA">
        <w:rPr>
          <w:rFonts w:ascii="Times New Roman" w:eastAsia="TimesNewRoman" w:hAnsi="Times New Roman" w:cs="Times New Roman"/>
          <w:sz w:val="24"/>
          <w:szCs w:val="24"/>
          <w:lang w:val="en-US"/>
        </w:rPr>
        <w:t>Index</w:t>
      </w:r>
      <w:r w:rsidRPr="000530EA">
        <w:rPr>
          <w:rFonts w:ascii="Times New Roman" w:eastAsia="TimesNewRoman" w:hAnsi="Times New Roman" w:cs="Times New Roman"/>
          <w:i/>
          <w:sz w:val="24"/>
          <w:szCs w:val="24"/>
          <w:lang w:val="en-US"/>
        </w:rPr>
        <w:t xml:space="preserve"> </w:t>
      </w:r>
      <w:r w:rsidRPr="00154FB2">
        <w:rPr>
          <w:rFonts w:ascii="Times New Roman" w:eastAsia="TimesNewRoman" w:hAnsi="Times New Roman" w:cs="Times New Roman"/>
          <w:sz w:val="24"/>
          <w:szCs w:val="24"/>
          <w:lang w:val="en-US"/>
        </w:rPr>
        <w:t>(PSM), the essence of which is to find a control group wh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ich</w:t>
      </w:r>
      <w:r w:rsidRPr="00154FB2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statistical characteristics are similar to the studied group (sample balancing), and then comparing the average values of both groups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0530EA">
        <w:rPr>
          <w:rFonts w:ascii="Corbel" w:eastAsia="TimesNewRoman" w:hAnsi="Corbel" w:cs="Times New Roman"/>
          <w:iCs/>
          <w:sz w:val="24"/>
          <w:szCs w:val="24"/>
          <w:lang w:val="en-US"/>
        </w:rPr>
        <w:t>[</w:t>
      </w:r>
      <w:r w:rsidRPr="00963924">
        <w:rPr>
          <w:rFonts w:ascii="Times New Roman" w:eastAsia="TimesNewRoman" w:hAnsi="Times New Roman" w:cs="Times New Roman"/>
          <w:sz w:val="24"/>
          <w:szCs w:val="24"/>
          <w:lang w:val="en-US"/>
        </w:rPr>
        <w:t>Austin</w:t>
      </w:r>
      <w:r w:rsidRPr="000530EA">
        <w:rPr>
          <w:rFonts w:ascii="Times New Roman" w:eastAsia="TimesNewRoman" w:hAnsi="Times New Roman" w:cs="Times New Roman"/>
          <w:sz w:val="24"/>
          <w:szCs w:val="24"/>
          <w:lang w:val="en-US"/>
        </w:rPr>
        <w:t>, 2011</w:t>
      </w:r>
      <w:r w:rsidR="005361C0" w:rsidRPr="005361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; </w:t>
      </w:r>
      <w:r w:rsidR="005361C0" w:rsidRPr="00402DE6">
        <w:rPr>
          <w:rFonts w:ascii="Times New Roman" w:hAnsi="Times New Roman" w:cs="Times New Roman"/>
          <w:color w:val="353C3F"/>
          <w:sz w:val="24"/>
          <w:szCs w:val="24"/>
          <w:shd w:val="clear" w:color="auto" w:fill="FFFFFF"/>
          <w:lang w:val="en-US"/>
        </w:rPr>
        <w:t>Matias</w:t>
      </w:r>
      <w:r w:rsidR="005361C0" w:rsidRPr="006D5F38">
        <w:rPr>
          <w:rFonts w:ascii="Times New Roman" w:hAnsi="Times New Roman" w:cs="Times New Roman"/>
          <w:color w:val="353C3F"/>
          <w:sz w:val="24"/>
          <w:szCs w:val="24"/>
          <w:shd w:val="clear" w:color="auto" w:fill="FFFFFF"/>
          <w:lang w:val="en-US"/>
        </w:rPr>
        <w:t>,</w:t>
      </w:r>
      <w:r w:rsidR="005361C0">
        <w:rPr>
          <w:rFonts w:ascii="Times New Roman" w:hAnsi="Times New Roman" w:cs="Times New Roman"/>
          <w:color w:val="353C3F"/>
          <w:sz w:val="24"/>
          <w:szCs w:val="24"/>
          <w:shd w:val="clear" w:color="auto" w:fill="FFFFFF"/>
          <w:lang w:val="en-US"/>
        </w:rPr>
        <w:t xml:space="preserve"> et al.</w:t>
      </w:r>
      <w:r w:rsidR="005361C0" w:rsidRPr="00D96E82">
        <w:rPr>
          <w:rFonts w:ascii="Times New Roman" w:hAnsi="Times New Roman" w:cs="Times New Roman"/>
          <w:color w:val="353C3F"/>
          <w:sz w:val="24"/>
          <w:szCs w:val="24"/>
          <w:shd w:val="clear" w:color="auto" w:fill="FFFFFF"/>
          <w:lang w:val="en-US"/>
        </w:rPr>
        <w:t>,</w:t>
      </w:r>
      <w:r w:rsidR="005361C0" w:rsidRPr="006D5F38">
        <w:rPr>
          <w:rFonts w:ascii="Times New Roman" w:hAnsi="Times New Roman" w:cs="Times New Roman"/>
          <w:color w:val="353C3F"/>
          <w:sz w:val="24"/>
          <w:szCs w:val="24"/>
          <w:shd w:val="clear" w:color="auto" w:fill="FFFFFF"/>
          <w:lang w:val="en-US"/>
        </w:rPr>
        <w:t xml:space="preserve"> 2009;</w:t>
      </w:r>
      <w:r w:rsidR="005361C0" w:rsidRPr="006D5F38">
        <w:rPr>
          <w:rFonts w:ascii="TimesNewRoman" w:eastAsia="TimesNewRoman" w:cs="TimesNewRoman"/>
          <w:i/>
          <w:iCs/>
          <w:sz w:val="28"/>
          <w:szCs w:val="28"/>
          <w:lang w:val="en-US"/>
        </w:rPr>
        <w:t xml:space="preserve"> </w:t>
      </w:r>
      <w:r w:rsidR="005361C0" w:rsidRPr="0046256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Gertler</w:t>
      </w:r>
      <w:r w:rsidR="005361C0" w:rsidRPr="006D5F3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, </w:t>
      </w:r>
      <w:r w:rsidR="005361C0">
        <w:rPr>
          <w:rFonts w:ascii="Times New Roman" w:hAnsi="Times New Roman" w:cs="Times New Roman"/>
          <w:color w:val="353C3F"/>
          <w:sz w:val="24"/>
          <w:szCs w:val="24"/>
          <w:shd w:val="clear" w:color="auto" w:fill="FFFFFF"/>
          <w:lang w:val="en-US"/>
        </w:rPr>
        <w:t>et al.</w:t>
      </w:r>
      <w:r w:rsidR="005361C0" w:rsidRPr="00D96E82">
        <w:rPr>
          <w:rFonts w:ascii="Times New Roman" w:hAnsi="Times New Roman" w:cs="Times New Roman"/>
          <w:color w:val="353C3F"/>
          <w:sz w:val="24"/>
          <w:szCs w:val="24"/>
          <w:shd w:val="clear" w:color="auto" w:fill="FFFFFF"/>
          <w:lang w:val="en-US"/>
        </w:rPr>
        <w:t>,</w:t>
      </w:r>
      <w:r w:rsidR="005361C0" w:rsidRPr="006D5F38">
        <w:rPr>
          <w:rFonts w:ascii="Times New Roman" w:hAnsi="Times New Roman" w:cs="Times New Roman"/>
          <w:color w:val="353C3F"/>
          <w:sz w:val="24"/>
          <w:szCs w:val="24"/>
          <w:shd w:val="clear" w:color="auto" w:fill="FFFFFF"/>
          <w:lang w:val="en-US"/>
        </w:rPr>
        <w:t xml:space="preserve"> </w:t>
      </w:r>
      <w:r w:rsidR="005361C0" w:rsidRPr="006D5F3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2016</w:t>
      </w:r>
      <w:r w:rsidR="005361C0" w:rsidRPr="006D5F38">
        <w:rPr>
          <w:rFonts w:ascii="Corbel" w:eastAsia="Times New Roman" w:hAnsi="Corbel" w:cs="Times New Roman"/>
          <w:color w:val="000000"/>
          <w:kern w:val="36"/>
          <w:sz w:val="24"/>
          <w:szCs w:val="24"/>
          <w:lang w:val="en-US"/>
        </w:rPr>
        <w:t>]</w:t>
      </w:r>
      <w:r w:rsidR="005361C0" w:rsidRPr="00425CEE">
        <w:rPr>
          <w:rFonts w:ascii="Times New Roman" w:eastAsia="TimesNewRoman" w:hAnsi="Times New Roman" w:cs="Times New Roman"/>
          <w:sz w:val="24"/>
          <w:szCs w:val="24"/>
          <w:lang w:val="en-US"/>
        </w:rPr>
        <w:t>.</w:t>
      </w:r>
    </w:p>
    <w:p w:rsidR="009941AE" w:rsidRPr="009941AE" w:rsidRDefault="009941AE" w:rsidP="00FC6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i/>
          <w:iCs/>
          <w:sz w:val="24"/>
          <w:szCs w:val="24"/>
          <w:lang w:val="en-US"/>
        </w:rPr>
      </w:pPr>
      <w:r w:rsidRPr="002848F4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In addition to the PSM methodology, a regression analysis is used to determine the more complex effect of securitization on the originator's activity — its effect on the loan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supply</w:t>
      </w:r>
      <w:r w:rsidRPr="002848F4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through refinancing the loan portfolio. The methodology of the </w:t>
      </w:r>
      <w:r w:rsidRPr="009941AE">
        <w:rPr>
          <w:rFonts w:ascii="Times New Roman" w:eastAsia="TimesNewRoman" w:hAnsi="Times New Roman" w:cs="Times New Roman"/>
          <w:i/>
          <w:sz w:val="24"/>
          <w:szCs w:val="24"/>
          <w:lang w:val="en-US"/>
        </w:rPr>
        <w:t>Dynamic Panel Data Model</w:t>
      </w:r>
      <w:r w:rsidRPr="002848F4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(DPD)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allows to </w:t>
      </w:r>
      <w:r w:rsidRPr="002848F4">
        <w:rPr>
          <w:rFonts w:ascii="Times New Roman" w:eastAsia="TimesNewRoman" w:hAnsi="Times New Roman" w:cs="Times New Roman"/>
          <w:sz w:val="24"/>
          <w:szCs w:val="24"/>
          <w:lang w:val="en-US"/>
        </w:rPr>
        <w:t>take into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consideration the fact that </w:t>
      </w:r>
      <w:r w:rsidRPr="002848F4">
        <w:rPr>
          <w:rFonts w:ascii="Times New Roman" w:eastAsia="TimesNewRoman" w:hAnsi="Times New Roman" w:cs="Times New Roman"/>
          <w:sz w:val="24"/>
          <w:szCs w:val="24"/>
          <w:lang w:val="en-US"/>
        </w:rPr>
        <w:t>such an effect does not occur simultaneously but is distributed over time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941AE">
        <w:rPr>
          <w:rFonts w:ascii="Corbel" w:eastAsia="TimesNewRoman" w:hAnsi="Corbel" w:cs="Times New Roman"/>
          <w:sz w:val="24"/>
          <w:szCs w:val="24"/>
          <w:lang w:val="en-US"/>
        </w:rPr>
        <w:t>[</w:t>
      </w:r>
      <w:r w:rsidRPr="00107872">
        <w:rPr>
          <w:rFonts w:ascii="Times New Roman" w:eastAsia="TimesNewRoman" w:hAnsi="Times New Roman" w:cs="Times New Roman"/>
          <w:sz w:val="24"/>
          <w:szCs w:val="24"/>
          <w:lang w:val="en-US"/>
        </w:rPr>
        <w:t>Anderson</w:t>
      </w:r>
      <w:r w:rsidRPr="009941AE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r w:rsidRPr="00107872">
        <w:rPr>
          <w:rFonts w:ascii="Times New Roman" w:eastAsia="TimesNewRoman" w:hAnsi="Times New Roman" w:cs="Times New Roman"/>
          <w:sz w:val="24"/>
          <w:szCs w:val="24"/>
          <w:lang w:val="en-US"/>
        </w:rPr>
        <w:t>Hsiao</w:t>
      </w:r>
      <w:r w:rsidRPr="009941AE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1982; </w:t>
      </w:r>
      <w:r w:rsidRPr="00963924">
        <w:rPr>
          <w:rFonts w:ascii="Times New Roman" w:eastAsia="TimesNewRoman" w:hAnsi="Times New Roman" w:cs="Times New Roman"/>
          <w:sz w:val="24"/>
          <w:szCs w:val="24"/>
          <w:lang w:val="en-US"/>
        </w:rPr>
        <w:t>Arellano</w:t>
      </w:r>
      <w:r w:rsidRPr="009941AE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r w:rsidRPr="00963924">
        <w:rPr>
          <w:rFonts w:ascii="Times New Roman" w:eastAsia="TimesNewRoman" w:hAnsi="Times New Roman" w:cs="Times New Roman"/>
          <w:sz w:val="24"/>
          <w:szCs w:val="24"/>
          <w:lang w:val="en-US"/>
        </w:rPr>
        <w:t>Bond</w:t>
      </w:r>
      <w:r w:rsidRPr="009941AE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1991; </w:t>
      </w:r>
      <w:r w:rsidRPr="00963924">
        <w:rPr>
          <w:rFonts w:ascii="Times New Roman" w:eastAsia="TimesNewRoman" w:hAnsi="Times New Roman" w:cs="Times New Roman"/>
          <w:sz w:val="24"/>
          <w:szCs w:val="24"/>
          <w:lang w:val="en-US"/>
        </w:rPr>
        <w:t>Arellano</w:t>
      </w:r>
      <w:r w:rsidRPr="009941AE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r w:rsidRPr="00963924">
        <w:rPr>
          <w:rFonts w:ascii="Times New Roman" w:eastAsia="TimesNewRoman" w:hAnsi="Times New Roman" w:cs="Times New Roman"/>
          <w:sz w:val="24"/>
          <w:szCs w:val="24"/>
          <w:lang w:val="en-US"/>
        </w:rPr>
        <w:t>Bover</w:t>
      </w:r>
      <w:r w:rsidRPr="009941AE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1995; </w:t>
      </w:r>
      <w:r w:rsidRPr="00963924">
        <w:rPr>
          <w:rFonts w:ascii="Times New Roman" w:eastAsia="TimesNewRoman" w:hAnsi="Times New Roman" w:cs="Times New Roman"/>
          <w:sz w:val="24"/>
          <w:szCs w:val="24"/>
          <w:lang w:val="en-US"/>
        </w:rPr>
        <w:t>Goderis</w:t>
      </w:r>
      <w:r w:rsidRPr="009941AE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et</w:t>
      </w:r>
      <w:r w:rsidRPr="009941AE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al</w:t>
      </w:r>
      <w:r w:rsidRPr="009941AE">
        <w:rPr>
          <w:rFonts w:ascii="Times New Roman" w:eastAsia="TimesNewRoman" w:hAnsi="Times New Roman" w:cs="Times New Roman"/>
          <w:sz w:val="24"/>
          <w:szCs w:val="24"/>
          <w:lang w:val="en-US"/>
        </w:rPr>
        <w:t>., 2007</w:t>
      </w:r>
      <w:r w:rsidRPr="009941AE">
        <w:rPr>
          <w:rFonts w:ascii="Corbel" w:eastAsia="TimesNewRoman" w:hAnsi="Corbel" w:cs="Times New Roman"/>
          <w:sz w:val="24"/>
          <w:szCs w:val="24"/>
          <w:lang w:val="en-US"/>
        </w:rPr>
        <w:t>]</w:t>
      </w:r>
      <w:r w:rsidRPr="009941AE">
        <w:rPr>
          <w:rFonts w:ascii="Times New Roman" w:eastAsia="TimesNewRoman" w:hAnsi="Times New Roman" w:cs="Times New Roman"/>
          <w:sz w:val="24"/>
          <w:szCs w:val="24"/>
          <w:lang w:val="en-US"/>
        </w:rPr>
        <w:t>.</w:t>
      </w:r>
    </w:p>
    <w:p w:rsidR="007010E2" w:rsidRDefault="007010E2" w:rsidP="007010E2">
      <w:pPr>
        <w:ind w:firstLine="70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890B42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The study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employs</w:t>
      </w:r>
      <w:r w:rsidRPr="00890B42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the database of the Central Bank of the Russian Federation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– </w:t>
      </w:r>
      <w:r w:rsidRPr="00890B42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bank performance indicators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data, </w:t>
      </w:r>
      <w:r w:rsidRPr="00890B42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and the Cbonds database - information on the dates and volumes of </w:t>
      </w:r>
      <w:r w:rsidRPr="00890B42">
        <w:rPr>
          <w:rFonts w:ascii="Times New Roman" w:eastAsia="TimesNewRoman" w:hAnsi="Times New Roman" w:cs="Times New Roman"/>
          <w:sz w:val="24"/>
          <w:szCs w:val="24"/>
          <w:lang w:val="en-US"/>
        </w:rPr>
        <w:lastRenderedPageBreak/>
        <w:t>securitization transactions. Research period: IV quarter 2012 - IV quarter 2017 (quarterly data).</w:t>
      </w:r>
      <w:r w:rsidR="00402A88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90B42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The sample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consists of </w:t>
      </w:r>
      <w:r w:rsidRPr="00890B42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401 banks with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the</w:t>
      </w:r>
      <w:r w:rsidRPr="00890B42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capital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exceeding</w:t>
      </w:r>
      <w:r w:rsidRPr="00890B42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1 billion rubles, incl. 32 originators, </w:t>
      </w:r>
      <w:proofErr w:type="gramStart"/>
      <w:r w:rsidRPr="00890B42">
        <w:rPr>
          <w:rFonts w:ascii="Times New Roman" w:eastAsia="TimesNewRoman" w:hAnsi="Times New Roman" w:cs="Times New Roman"/>
          <w:sz w:val="24"/>
          <w:szCs w:val="24"/>
          <w:lang w:val="en-US"/>
        </w:rPr>
        <w:t>th</w:t>
      </w:r>
      <w:r w:rsidR="00F0172F">
        <w:rPr>
          <w:rFonts w:ascii="Times New Roman" w:eastAsia="TimesNewRoman" w:hAnsi="Times New Roman" w:cs="Times New Roman"/>
          <w:sz w:val="24"/>
          <w:szCs w:val="24"/>
          <w:lang w:val="en-US"/>
        </w:rPr>
        <w:t>e</w:t>
      </w:r>
      <w:proofErr w:type="gramEnd"/>
      <w:r w:rsidR="00F0172F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number of observations - 7961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.</w:t>
      </w:r>
    </w:p>
    <w:p w:rsidR="007010E2" w:rsidRDefault="007010E2" w:rsidP="0015395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1D42" w:rsidRPr="004E7865" w:rsidRDefault="00A11D42" w:rsidP="00A11D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  <w:r w:rsidRPr="004216A7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Propensity Score Matching with Difference-in-Difference: Estimation of </w:t>
      </w:r>
      <w:r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t</w:t>
      </w:r>
      <w:r w:rsidRPr="004216A7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he average effect of exposure</w:t>
      </w:r>
    </w:p>
    <w:p w:rsidR="00F17066" w:rsidRDefault="002158E0" w:rsidP="00F17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3A0D8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The results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of model </w:t>
      </w:r>
      <w:r w:rsidRPr="00402A88">
        <w:rPr>
          <w:rFonts w:ascii="Times New Roman" w:eastAsia="TimesNewRoman" w:hAnsi="Times New Roman" w:cs="Times New Roman"/>
          <w:sz w:val="24"/>
          <w:szCs w:val="24"/>
          <w:lang w:val="en-US"/>
        </w:rPr>
        <w:t>show</w:t>
      </w:r>
      <w:r w:rsidR="00F17066" w:rsidRPr="00402A88">
        <w:rPr>
          <w:rFonts w:ascii="Times New Roman" w:eastAsia="TimesNewRoman" w:hAnsi="Times New Roman" w:cs="Times New Roman"/>
          <w:sz w:val="24"/>
          <w:szCs w:val="24"/>
          <w:lang w:val="en-US"/>
        </w:rPr>
        <w:t>,</w:t>
      </w:r>
      <w:r w:rsidR="00A945DB" w:rsidRPr="00402A88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402A88">
        <w:rPr>
          <w:rFonts w:ascii="Times New Roman" w:eastAsia="TimesNewRoman" w:hAnsi="Times New Roman" w:cs="Times New Roman"/>
          <w:sz w:val="24"/>
          <w:szCs w:val="24"/>
          <w:lang w:val="en-US"/>
        </w:rPr>
        <w:t>that</w:t>
      </w:r>
      <w:r w:rsidR="00F1706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="00F17066" w:rsidRPr="00430ED2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mortgage securitization increases the share of liquid assets by 149 b. p., increases the </w:t>
      </w:r>
      <w:r w:rsidR="00F17066" w:rsidRPr="006E6193">
        <w:rPr>
          <w:rFonts w:ascii="Times New Roman" w:hAnsi="Times New Roman" w:cs="Times New Roman"/>
          <w:sz w:val="24"/>
          <w:szCs w:val="24"/>
          <w:lang w:val="en-US"/>
        </w:rPr>
        <w:t>Non-performing Loans</w:t>
      </w:r>
      <w:r w:rsidR="00F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06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by </w:t>
      </w:r>
      <w:r w:rsidR="00F17066" w:rsidRPr="00430ED2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115 b. p., reduces the net interest margin by 61 b. </w:t>
      </w:r>
      <w:r w:rsidR="00F17066">
        <w:rPr>
          <w:rFonts w:ascii="Times New Roman" w:eastAsia="TimesNewRoman" w:hAnsi="Times New Roman" w:cs="Times New Roman"/>
          <w:sz w:val="24"/>
          <w:szCs w:val="24"/>
          <w:lang w:val="en-US"/>
        </w:rPr>
        <w:t>p</w:t>
      </w:r>
      <w:r w:rsidR="00F17066" w:rsidRPr="00430ED2">
        <w:rPr>
          <w:rFonts w:ascii="Times New Roman" w:eastAsia="TimesNewRoman" w:hAnsi="Times New Roman" w:cs="Times New Roman"/>
          <w:sz w:val="24"/>
          <w:szCs w:val="24"/>
          <w:lang w:val="en-US"/>
        </w:rPr>
        <w:t>. and does not affect other indicators.</w:t>
      </w:r>
    </w:p>
    <w:p w:rsidR="00F17066" w:rsidRDefault="00F17066" w:rsidP="00F17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430ED2">
        <w:rPr>
          <w:rFonts w:ascii="Times New Roman" w:eastAsia="TimesNewRoman" w:hAnsi="Times New Roman" w:cs="Times New Roman"/>
          <w:sz w:val="24"/>
          <w:szCs w:val="24"/>
          <w:lang w:val="en-US"/>
        </w:rPr>
        <w:t>The increase in the share of liquid assets is a consequence of the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430ED2">
        <w:rPr>
          <w:rFonts w:ascii="Times New Roman" w:eastAsia="TimesNewRoman" w:hAnsi="Times New Roman" w:cs="Times New Roman"/>
          <w:sz w:val="24"/>
          <w:szCs w:val="24"/>
          <w:lang w:val="en-US"/>
        </w:rPr>
        <w:t>originator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-</w:t>
      </w:r>
      <w:r w:rsidRPr="00430ED2">
        <w:rPr>
          <w:rFonts w:ascii="Times New Roman" w:eastAsia="TimesNewRoman" w:hAnsi="Times New Roman" w:cs="Times New Roman"/>
          <w:sz w:val="24"/>
          <w:szCs w:val="24"/>
          <w:lang w:val="en-US"/>
        </w:rPr>
        <w:t>bank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’s</w:t>
      </w:r>
      <w:r w:rsidRPr="00430ED2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loan portfolio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430ED2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refinancing and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it </w:t>
      </w:r>
      <w:r w:rsidRPr="00430ED2">
        <w:rPr>
          <w:rFonts w:ascii="Times New Roman" w:eastAsia="TimesNewRoman" w:hAnsi="Times New Roman" w:cs="Times New Roman"/>
          <w:sz w:val="24"/>
          <w:szCs w:val="24"/>
          <w:lang w:val="en-US"/>
        </w:rPr>
        <w:t>is the main effect of securitization.</w:t>
      </w:r>
    </w:p>
    <w:p w:rsidR="00F17066" w:rsidRDefault="00F17066" w:rsidP="00F17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984C4A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The increase in the share of </w:t>
      </w:r>
      <w:r w:rsidRPr="006E6193">
        <w:rPr>
          <w:rFonts w:ascii="Times New Roman" w:hAnsi="Times New Roman" w:cs="Times New Roman"/>
          <w:sz w:val="24"/>
          <w:szCs w:val="24"/>
          <w:lang w:val="en-US"/>
        </w:rPr>
        <w:t>Non-performing Loans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4C4A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can be explained by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the fact that banks-originators </w:t>
      </w:r>
      <w:r w:rsidRPr="00984C4A">
        <w:rPr>
          <w:rFonts w:ascii="Times New Roman" w:eastAsia="TimesNewRoman" w:hAnsi="Times New Roman" w:cs="Times New Roman"/>
          <w:sz w:val="24"/>
          <w:szCs w:val="24"/>
          <w:lang w:val="en-US"/>
        </w:rPr>
        <w:t>inclu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ded in the loan pools for sale the loans of a better quality </w:t>
      </w:r>
      <w:r w:rsidRPr="00984C4A">
        <w:rPr>
          <w:rFonts w:ascii="Times New Roman" w:eastAsia="TimesNewRoman" w:hAnsi="Times New Roman" w:cs="Times New Roman"/>
          <w:sz w:val="24"/>
          <w:szCs w:val="24"/>
          <w:lang w:val="en-US"/>
        </w:rPr>
        <w:t>compared with those held on the balance sheet. This fact suggests that securitization is not a tool for managing credit risk in Russian banks. The decrease in the net interest margin occurs due to a reduction in the interest income generated by the loans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sold</w:t>
      </w:r>
      <w:r w:rsidRPr="00984C4A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and </w:t>
      </w:r>
      <w:proofErr w:type="gramStart"/>
      <w:r w:rsidRPr="00984C4A">
        <w:rPr>
          <w:rFonts w:ascii="Times New Roman" w:eastAsia="TimesNewRoman" w:hAnsi="Times New Roman" w:cs="Times New Roman"/>
          <w:sz w:val="24"/>
          <w:szCs w:val="24"/>
          <w:lang w:val="en-US"/>
        </w:rPr>
        <w:t>a deterioration</w:t>
      </w:r>
      <w:proofErr w:type="gramEnd"/>
      <w:r w:rsidRPr="00984C4A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in the quality of the loan portfolio. At the same time,</w:t>
      </w:r>
      <w:r w:rsidR="007C76AA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84C4A">
        <w:rPr>
          <w:rFonts w:ascii="Times New Roman" w:eastAsia="TimesNewRoman" w:hAnsi="Times New Roman" w:cs="Times New Roman"/>
          <w:sz w:val="24"/>
          <w:szCs w:val="24"/>
          <w:lang w:val="en-US"/>
        </w:rPr>
        <w:t>no impact on the profitability of assets and capital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was observed</w:t>
      </w:r>
      <w:r w:rsidRPr="00984C4A">
        <w:rPr>
          <w:rFonts w:ascii="Times New Roman" w:eastAsia="TimesNewRoman" w:hAnsi="Times New Roman" w:cs="Times New Roman"/>
          <w:sz w:val="24"/>
          <w:szCs w:val="24"/>
          <w:lang w:val="en-US"/>
        </w:rPr>
        <w:t>, since these indicators depend on a number of other factors.</w:t>
      </w:r>
    </w:p>
    <w:p w:rsidR="00F17066" w:rsidRDefault="00F17066" w:rsidP="000D78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</w:p>
    <w:p w:rsidR="00013C61" w:rsidRPr="006A6DD5" w:rsidRDefault="00013C61" w:rsidP="00013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  <w:r w:rsidRPr="006A6DD5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Dynamic Panel Data Model: Estimation of the average effect of securitization</w:t>
      </w:r>
      <w:r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exposure</w:t>
      </w:r>
      <w:r w:rsidRPr="006A6DD5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on the originator</w:t>
      </w:r>
      <w:r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’s </w:t>
      </w:r>
      <w:r w:rsidRPr="006A6DD5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loan </w:t>
      </w:r>
      <w:r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supply.</w:t>
      </w:r>
    </w:p>
    <w:p w:rsidR="000006AB" w:rsidRPr="001D568F" w:rsidRDefault="00EC51F2" w:rsidP="00000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3A0D8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The results </w:t>
      </w:r>
      <w:r w:rsidR="00FC3807" w:rsidRPr="003A0D80">
        <w:rPr>
          <w:rFonts w:ascii="Times New Roman" w:eastAsia="TimesNewRoman" w:hAnsi="Times New Roman" w:cs="Times New Roman"/>
          <w:sz w:val="24"/>
          <w:szCs w:val="24"/>
          <w:lang w:val="en-US"/>
        </w:rPr>
        <w:t>of</w:t>
      </w:r>
      <w:r w:rsidR="00FC3807" w:rsidRPr="00FC3807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analysis </w:t>
      </w:r>
      <w:r w:rsidRPr="003A0D8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of this exposure </w:t>
      </w:r>
      <w:r w:rsidR="00734671" w:rsidRPr="00FC3807">
        <w:rPr>
          <w:rFonts w:ascii="Times New Roman" w:eastAsia="TimesNewRoman" w:hAnsi="Times New Roman" w:cs="Times New Roman"/>
          <w:sz w:val="24"/>
          <w:szCs w:val="24"/>
          <w:lang w:val="en-US"/>
        </w:rPr>
        <w:t>show</w:t>
      </w:r>
      <w:r w:rsidR="00EF307C" w:rsidRPr="00FC3807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r w:rsidR="00734671" w:rsidRPr="00FC3807">
        <w:rPr>
          <w:rFonts w:ascii="Times New Roman" w:eastAsia="TimesNewRoman" w:hAnsi="Times New Roman" w:cs="Times New Roman"/>
          <w:sz w:val="24"/>
          <w:szCs w:val="24"/>
          <w:lang w:val="en-US"/>
        </w:rPr>
        <w:t>that</w:t>
      </w:r>
      <w:r w:rsidR="00EF307C" w:rsidRPr="00EF307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="000006AB">
        <w:rPr>
          <w:rFonts w:ascii="Times New Roman" w:eastAsia="TimesNewRoman" w:hAnsi="Times New Roman" w:cs="Times New Roman"/>
          <w:sz w:val="24"/>
          <w:szCs w:val="24"/>
          <w:lang w:val="en-US"/>
        </w:rPr>
        <w:t>s</w:t>
      </w:r>
      <w:r w:rsidR="000006AB" w:rsidRPr="001D568F">
        <w:rPr>
          <w:rFonts w:ascii="Times New Roman" w:eastAsia="TimesNewRoman" w:hAnsi="Times New Roman" w:cs="Times New Roman"/>
          <w:sz w:val="24"/>
          <w:szCs w:val="24"/>
          <w:lang w:val="en-US"/>
        </w:rPr>
        <w:t>ecuritization</w:t>
      </w:r>
      <w:r w:rsidR="000006AB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performed by </w:t>
      </w:r>
      <w:r w:rsidR="000006AB" w:rsidRPr="001D568F">
        <w:rPr>
          <w:rFonts w:ascii="Times New Roman" w:eastAsia="TimesNewRoman" w:hAnsi="Times New Roman" w:cs="Times New Roman"/>
          <w:sz w:val="24"/>
          <w:szCs w:val="24"/>
          <w:lang w:val="en-US"/>
        </w:rPr>
        <w:t>the originato</w:t>
      </w:r>
      <w:r w:rsidR="000006AB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r </w:t>
      </w:r>
      <w:r w:rsidR="000006AB" w:rsidRPr="001D568F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increases its loan portfolio by 88% through </w:t>
      </w:r>
      <w:r w:rsidR="000006AB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the </w:t>
      </w:r>
      <w:r w:rsidR="000006AB" w:rsidRPr="001D568F">
        <w:rPr>
          <w:rFonts w:ascii="Times New Roman" w:eastAsia="TimesNewRoman" w:hAnsi="Times New Roman" w:cs="Times New Roman"/>
          <w:sz w:val="24"/>
          <w:szCs w:val="24"/>
          <w:lang w:val="en-US"/>
        </w:rPr>
        <w:t>loans</w:t>
      </w:r>
      <w:r w:rsidR="000006AB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refinancing</w:t>
      </w:r>
      <w:r w:rsidR="000006AB" w:rsidRPr="001D568F">
        <w:rPr>
          <w:rFonts w:ascii="Times New Roman" w:eastAsia="TimesNewRoman" w:hAnsi="Times New Roman" w:cs="Times New Roman"/>
          <w:sz w:val="24"/>
          <w:szCs w:val="24"/>
          <w:lang w:val="en-US"/>
        </w:rPr>
        <w:t>. At the same time, the achievement of a similar result by a</w:t>
      </w:r>
      <w:r w:rsidR="000006AB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non-</w:t>
      </w:r>
      <w:r w:rsidR="000006AB" w:rsidRPr="001D568F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originator is possible </w:t>
      </w:r>
      <w:r w:rsidR="000006AB">
        <w:rPr>
          <w:rFonts w:ascii="Times New Roman" w:eastAsia="TimesNewRoman" w:hAnsi="Times New Roman" w:cs="Times New Roman"/>
          <w:sz w:val="24"/>
          <w:szCs w:val="24"/>
          <w:lang w:val="en-US"/>
        </w:rPr>
        <w:t>due</w:t>
      </w:r>
      <w:r w:rsidR="000006AB" w:rsidRPr="001D568F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to a 142% increase in capital</w:t>
      </w:r>
      <w:r w:rsidR="000006AB" w:rsidRPr="007A65D7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(ceteris paribus)</w:t>
      </w:r>
      <w:r w:rsidR="000006AB" w:rsidRPr="001D568F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. </w:t>
      </w:r>
    </w:p>
    <w:p w:rsidR="000006AB" w:rsidRDefault="000006AB" w:rsidP="00004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:rsidR="009A3FE5" w:rsidRPr="00C942EC" w:rsidRDefault="009A3FE5" w:rsidP="009A3F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  <w:r w:rsidRPr="00D90C16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Conclusion</w:t>
      </w:r>
    </w:p>
    <w:p w:rsidR="00C942EC" w:rsidRDefault="00C942EC" w:rsidP="00C94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453F54">
        <w:rPr>
          <w:rFonts w:ascii="Times New Roman" w:eastAsia="TimesNewRoman" w:hAnsi="Times New Roman" w:cs="Times New Roman"/>
          <w:sz w:val="24"/>
          <w:szCs w:val="24"/>
          <w:lang w:val="en-US"/>
        </w:rPr>
        <w:t>Based on the results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453F54">
        <w:rPr>
          <w:rFonts w:ascii="Times New Roman" w:eastAsia="TimesNewRoman" w:hAnsi="Times New Roman" w:cs="Times New Roman"/>
          <w:sz w:val="24"/>
          <w:szCs w:val="24"/>
          <w:lang w:val="en-US"/>
        </w:rPr>
        <w:t>of both models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estimation</w:t>
      </w:r>
      <w:r w:rsidRPr="00453F54">
        <w:rPr>
          <w:rFonts w:ascii="Times New Roman" w:eastAsia="TimesNewRoman" w:hAnsi="Times New Roman" w:cs="Times New Roman"/>
          <w:sz w:val="24"/>
          <w:szCs w:val="24"/>
          <w:lang w:val="en-US"/>
        </w:rPr>
        <w:t>, it can be concluded that the only significant advantage of the mortgage securitization for Russian originator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s (</w:t>
      </w:r>
      <w:r w:rsidRPr="00453F54">
        <w:rPr>
          <w:rFonts w:ascii="Times New Roman" w:eastAsia="TimesNewRoman" w:hAnsi="Times New Roman" w:cs="Times New Roman"/>
          <w:sz w:val="24"/>
          <w:szCs w:val="24"/>
          <w:lang w:val="en-US"/>
        </w:rPr>
        <w:t>besides the growth in the share of liquid assets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)</w:t>
      </w:r>
      <w:r w:rsidRPr="00453F54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is the possibility of increasing the target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volume of a</w:t>
      </w:r>
      <w:r w:rsidRPr="00453F54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loan portfolio</w:t>
      </w:r>
      <w:r w:rsidR="0089304A" w:rsidRPr="0089304A">
        <w:rPr>
          <w:rFonts w:ascii="Times New Roman" w:eastAsia="TimesNewRoman" w:hAnsi="Times New Roman" w:cs="Times New Roman"/>
          <w:sz w:val="24"/>
          <w:szCs w:val="24"/>
          <w:lang w:val="en-US"/>
        </w:rPr>
        <w:t>.</w:t>
      </w:r>
      <w:r w:rsidRPr="00453F54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FD29C8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In contrast to foreign practice, securitization in Russia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neither</w:t>
      </w:r>
      <w:r w:rsidRPr="00FD29C8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affect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s</w:t>
      </w:r>
      <w:r w:rsidRPr="00FD29C8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the cost of funding,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FD29C8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the possibility of regulatory arbitrage and the growth of profitability, nor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represents</w:t>
      </w:r>
      <w:r w:rsidRPr="00FD29C8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a tool for reducing credit risk.</w:t>
      </w:r>
    </w:p>
    <w:p w:rsidR="00C942EC" w:rsidRPr="00D82672" w:rsidRDefault="00C942EC" w:rsidP="00C94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754E6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Thus, in the Russian context, the potential of the mortgage securitization mechanism is not yet fully utilized, and its negative impact on some key indicators of banks'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performance witnesses the contribution </w:t>
      </w:r>
      <w:r w:rsidRPr="00754E6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of securitization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to the</w:t>
      </w:r>
      <w:r w:rsidRPr="00754E6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systemic risks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enhancement</w:t>
      </w:r>
      <w:r w:rsidRPr="00754E6C">
        <w:rPr>
          <w:rFonts w:ascii="Times New Roman" w:eastAsia="TimesNewRoman" w:hAnsi="Times New Roman" w:cs="Times New Roman"/>
          <w:sz w:val="24"/>
          <w:szCs w:val="24"/>
          <w:lang w:val="en-US"/>
        </w:rPr>
        <w:t>.</w:t>
      </w:r>
    </w:p>
    <w:p w:rsidR="00082131" w:rsidRPr="00DC5F06" w:rsidRDefault="00082131" w:rsidP="000821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227A81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findings</w:t>
      </w:r>
      <w:r w:rsidRPr="00227A81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of this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study</w:t>
      </w:r>
      <w:r w:rsidRPr="00227A81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can be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useful for </w:t>
      </w:r>
      <w:r w:rsidRPr="00227A81">
        <w:rPr>
          <w:rFonts w:ascii="Times New Roman" w:eastAsia="TimesNewRoman" w:hAnsi="Times New Roman" w:cs="Times New Roman"/>
          <w:sz w:val="24"/>
          <w:szCs w:val="24"/>
          <w:lang w:val="en-US"/>
        </w:rPr>
        <w:t>commercial banks when deciding on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227A81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mortgage securitization transactions, as well as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for</w:t>
      </w:r>
      <w:r w:rsidRPr="00227A81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supervisor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authorities to </w:t>
      </w:r>
      <w:r w:rsidRPr="00227A81">
        <w:rPr>
          <w:rFonts w:ascii="Times New Roman" w:eastAsia="TimesNewRoman" w:hAnsi="Times New Roman" w:cs="Times New Roman"/>
          <w:sz w:val="24"/>
          <w:szCs w:val="24"/>
          <w:lang w:val="en-US"/>
        </w:rPr>
        <w:t>improv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e</w:t>
      </w:r>
      <w:r w:rsidRPr="00227A81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the regulatory requirements applicable to such transactions.</w:t>
      </w:r>
    </w:p>
    <w:p w:rsidR="00082131" w:rsidRPr="00563431" w:rsidRDefault="00082131" w:rsidP="00C94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:rsidR="00056E1C" w:rsidRPr="00563431" w:rsidRDefault="00056E1C" w:rsidP="00C94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:rsidR="00056E1C" w:rsidRPr="00563431" w:rsidRDefault="00056E1C" w:rsidP="00C94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Влияние </w:t>
      </w:r>
      <w:proofErr w:type="gramStart"/>
      <w:r>
        <w:rPr>
          <w:rFonts w:ascii="Times New Roman" w:eastAsia="TimesNewRoman" w:hAnsi="Times New Roman" w:cs="Times New Roman"/>
          <w:b/>
          <w:sz w:val="24"/>
          <w:szCs w:val="24"/>
        </w:rPr>
        <w:t>ипотечной</w:t>
      </w:r>
      <w:proofErr w:type="gramEnd"/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секьюритизации на показатели банка: оценка среднего эффекта воздействия</w:t>
      </w:r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С.Ю. Хасянова, М. Самсонов</w:t>
      </w:r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E1C" w:rsidRDefault="00056E1C" w:rsidP="00056E1C">
      <w:pPr>
        <w:spacing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i/>
          <w:sz w:val="24"/>
          <w:szCs w:val="24"/>
        </w:rPr>
        <w:t>Ключевые слова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: банковский сектор, ипотечная секьюритизация, системный риск, детерминанты секьюритизации, рефинансирование кредитного портфеля, кредитное предложение, капитал, ликвидность. </w:t>
      </w:r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  <w:lang w:val="en-US"/>
        </w:rPr>
        <w:lastRenderedPageBreak/>
        <w:t>JEL</w:t>
      </w:r>
      <w:r w:rsidRPr="00056E1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21,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11,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12 </w:t>
      </w:r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Ипотечная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секьюритизация является инновационным финансовым инструментом, позволяющим улучшить показатели банковского бизнеса, но в то же время при определенных условиях, имеет крайне негативные последствия для стабильности банковского сектора, что показал последний глобальный финансовый кризис, начало которому положил кризис на рынке ипотечных ценных бумаг в США. </w:t>
      </w:r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В данном исследовании рассматривается актуальная проблема развития рынка ипотечной секьюритизации в России.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Ипотечная секьюритизация в РФ проводится исключительно крупнейшими банками, что ставит вопрос об оценке выгод, которые она приносит этим банкам, а также о целесообразности реализации подобных сделок другими банками. </w:t>
      </w:r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Целью исследования является анализ и оценка среднего эффекта воздействия ипотечной секьюритизации на показатели деятельности российских банков, проводивших такие сделки в период с 2012 по 2018 гг.</w:t>
      </w:r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Выгоды и риски секьюритизации для оригинатора. Обзор литературы.</w:t>
      </w:r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 xml:space="preserve">Результаты зарубежных исследований показывают, что секьюритизация предоставляет банку-инициатору (далее – оригинатор) возможности, проявляющиеся в пополнении ликвидности </w:t>
      </w:r>
      <w:r>
        <w:rPr>
          <w:rFonts w:ascii="Corbel" w:eastAsia="TimesNewRoman" w:hAnsi="Corbel" w:cs="Times New Roman"/>
          <w:sz w:val="24"/>
          <w:szCs w:val="24"/>
        </w:rPr>
        <w:t>[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Cardone</w:t>
      </w:r>
      <w:r>
        <w:rPr>
          <w:rFonts w:ascii="Times New Roman" w:eastAsia="TimesNewRoman" w:hAnsi="Times New Roman" w:cs="Times New Roman"/>
          <w:sz w:val="24"/>
          <w:szCs w:val="24"/>
        </w:rPr>
        <w:t>-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Riportella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Samaniego</w:t>
      </w:r>
      <w:r>
        <w:rPr>
          <w:rFonts w:ascii="Times New Roman" w:eastAsia="TimesNewRoman" w:hAnsi="Times New Roman" w:cs="Times New Roman"/>
          <w:sz w:val="24"/>
          <w:szCs w:val="24"/>
        </w:rPr>
        <w:t>-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Medina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Trujillo</w:t>
      </w:r>
      <w:r>
        <w:rPr>
          <w:rFonts w:ascii="Times New Roman" w:eastAsia="TimesNewRoman" w:hAnsi="Times New Roman" w:cs="Times New Roman"/>
          <w:sz w:val="24"/>
          <w:szCs w:val="24"/>
        </w:rPr>
        <w:t>-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Ponce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2010; </w:t>
      </w:r>
      <w:hyperlink r:id="rId13" w:history="1">
        <w:r w:rsidRPr="00056E1C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L</w:t>
        </w:r>
        <w:r w:rsidRPr="00056E1C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ó</w:t>
        </w:r>
        <w:r w:rsidRPr="00056E1C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pez</w:t>
        </w:r>
        <w:r w:rsidRPr="00056E1C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-</w:t>
        </w:r>
        <w:r w:rsidRPr="00056E1C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Andi</w:t>
        </w:r>
        <w:r w:rsidRPr="00056E1C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ó</w:t>
        </w:r>
        <w:r w:rsidRPr="00056E1C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n</w:t>
        </w:r>
      </w:hyperlink>
      <w:r w:rsidRPr="00056E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056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., 2018]</w:t>
      </w:r>
      <w:r>
        <w:rPr>
          <w:rFonts w:ascii="Times New Roman" w:eastAsia="TimesNewRoman" w:hAnsi="Times New Roman" w:cs="Times New Roman"/>
          <w:sz w:val="24"/>
          <w:szCs w:val="24"/>
        </w:rPr>
        <w:t>, более гибком управлении рисками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Corbel" w:hAnsi="Corbel" w:cs="Times New Roman"/>
          <w:sz w:val="24"/>
          <w:szCs w:val="24"/>
          <w:shd w:val="clear" w:color="auto" w:fill="FFFFFF"/>
        </w:rPr>
        <w:t>[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Goderis</w:t>
      </w:r>
      <w:r>
        <w:rPr>
          <w:rFonts w:ascii="Times New Roman" w:eastAsia="TimesNew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056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2007;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Mendon</w:t>
      </w:r>
      <w:r>
        <w:rPr>
          <w:rFonts w:ascii="Times New Roman" w:eastAsia="TimesNewRoman" w:hAnsi="Times New Roman" w:cs="Times New Roman"/>
          <w:sz w:val="24"/>
          <w:szCs w:val="24"/>
        </w:rPr>
        <w:t>ç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Barcelos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2015; </w:t>
      </w:r>
      <w:hyperlink r:id="rId14" w:history="1">
        <w:r w:rsidRPr="00056E1C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Kara</w:t>
        </w:r>
      </w:hyperlink>
      <w:r w:rsidRPr="00056E1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056E1C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Altunba</w:t>
        </w:r>
        <w:r w:rsidRPr="00056E1C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ş</w:t>
        </w:r>
      </w:hyperlink>
      <w:r w:rsidRPr="00056E1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056E1C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Ozkan</w:t>
        </w:r>
      </w:hyperlink>
      <w:r w:rsidRPr="00056E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2016;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Wu</w:t>
      </w:r>
      <w:r>
        <w:rPr>
          <w:rFonts w:ascii="Times New Roman" w:eastAsia="TimesNewRoman" w:hAnsi="Times New Roman" w:cs="Times New Roman"/>
          <w:sz w:val="24"/>
          <w:szCs w:val="24"/>
        </w:rPr>
        <w:t>, 2018], снижении стоимости фондирования</w:t>
      </w:r>
      <w:r>
        <w:rPr>
          <w:rFonts w:eastAsia="TimesNew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Casu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Sarkisyan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2015;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  <w:lang w:val="en-US"/>
        </w:rPr>
        <w:t>Ngwu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Bavoso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Chen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2017], возможности регулятивного арбитража </w:t>
      </w:r>
      <w:r>
        <w:rPr>
          <w:rFonts w:ascii="Corbel" w:eastAsia="TimesNewRoman" w:hAnsi="Corbel" w:cs="Times New Roman"/>
          <w:sz w:val="24"/>
          <w:szCs w:val="24"/>
        </w:rPr>
        <w:t>[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Demyanyk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Loutskina</w:t>
      </w:r>
      <w:r>
        <w:rPr>
          <w:rFonts w:ascii="Times New Roman" w:eastAsia="TimesNewRoman" w:hAnsi="Times New Roman" w:cs="Times New Roman"/>
          <w:sz w:val="24"/>
          <w:szCs w:val="24"/>
        </w:rPr>
        <w:t>, 2016</w:t>
      </w:r>
      <w:r>
        <w:rPr>
          <w:rFonts w:ascii="Corbel" w:eastAsia="TimesNewRoman" w:hAnsi="Corbel" w:cs="Times New Roman"/>
          <w:sz w:val="24"/>
          <w:szCs w:val="24"/>
        </w:rPr>
        <w:t>]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и росте прибыльности операций </w:t>
      </w:r>
      <w:r>
        <w:rPr>
          <w:rFonts w:ascii="Corbel" w:eastAsia="TimesNewRoman" w:hAnsi="Corbel" w:cs="Times New Roman"/>
          <w:sz w:val="24"/>
          <w:szCs w:val="24"/>
        </w:rPr>
        <w:t>[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Bannier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TimesNewRoman" w:hAnsi="Times New Roman" w:cs="Times New Roman"/>
          <w:sz w:val="24"/>
          <w:szCs w:val="24"/>
        </w:rPr>
        <w:t>ä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nsel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2008;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Jiangli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Pritsker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2008;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Mian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Sufi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2009;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Affinito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Tagliaferri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2010;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Casu</w:t>
      </w:r>
      <w:r>
        <w:rPr>
          <w:rFonts w:ascii="Times New Roman" w:eastAsia="TimesNew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056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NewRoman" w:hAnsi="Times New Roman" w:cs="Times New Roman"/>
          <w:sz w:val="24"/>
          <w:szCs w:val="24"/>
        </w:rPr>
        <w:t>2013</w:t>
      </w:r>
      <w:r>
        <w:rPr>
          <w:rFonts w:ascii="Corbel" w:eastAsia="TimesNewRoman" w:hAnsi="Corbel" w:cs="Times New Roman"/>
          <w:sz w:val="24"/>
          <w:szCs w:val="24"/>
        </w:rPr>
        <w:t>]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 xml:space="preserve">Возможные риски секьюритизации связаны с проблемой ассиметрии информации, поскольку оригинатор, как более информированная сторона о качестве секьюритизируемых активов, может использовать свое преимущество при их выборе и включать в продаваемый пул кредиты худшего качества по сравнению с удерживаемыми на балансе </w:t>
      </w:r>
      <w:r>
        <w:rPr>
          <w:rFonts w:ascii="Corbel" w:eastAsia="TimesNewRoman" w:hAnsi="Corbel" w:cs="Times New Roman"/>
          <w:sz w:val="24"/>
          <w:szCs w:val="24"/>
        </w:rPr>
        <w:t>[</w:t>
      </w:r>
      <w:hyperlink r:id="rId17" w:tgtFrame="_blank" w:tooltip="View other papers by this author" w:history="1">
        <w:r w:rsidRPr="00056E1C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Wallace</w:t>
        </w:r>
      </w:hyperlink>
      <w:r w:rsidRPr="00056E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2009;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Deng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Gabriel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2011;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Agarwal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Chang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Yavas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2012;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Benmelech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Dlugosz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Ivashina</w:t>
      </w:r>
      <w:r>
        <w:rPr>
          <w:rFonts w:ascii="Times New Roman" w:eastAsia="TimesNewRoman" w:hAnsi="Times New Roman" w:cs="Times New Roman"/>
          <w:sz w:val="24"/>
          <w:szCs w:val="24"/>
        </w:rPr>
        <w:t>, 2012;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Downing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Jaffee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Ibanez</w:t>
      </w:r>
      <w:r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Corbel" w:hAnsi="Corbel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Методология и база исследования</w:t>
      </w:r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eastAsia="TimesNewRoman" w:cs="TimesNewRoman"/>
          <w:i/>
          <w:iCs/>
          <w:sz w:val="28"/>
          <w:szCs w:val="28"/>
        </w:rPr>
      </w:pP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 xml:space="preserve">Для решения задачи определения эффекта воздействия широко используется метод подбора контрольной группы по индексу соответствия </w:t>
      </w:r>
      <w:r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Propensity Score Matching </w:t>
      </w:r>
      <w:r>
        <w:rPr>
          <w:rFonts w:ascii="Times New Roman" w:eastAsia="TimesNewRoman" w:hAnsi="Times New Roman" w:cs="Times New Roman"/>
          <w:sz w:val="24"/>
          <w:szCs w:val="24"/>
        </w:rPr>
        <w:t>(PSM), суть которого состоит в поиске контрольной группы, статистические характеристики которой аналогичны исследуемой группе (балансировка выборки), а затем в сравнении средних значений обеих групп</w:t>
      </w:r>
      <w:r>
        <w:rPr>
          <w:rFonts w:ascii="Times New Roman" w:eastAsia="TimesNewRoman" w:hAnsi="Times New Roman" w:cs="Times New Roman"/>
          <w:iCs/>
          <w:sz w:val="24"/>
          <w:szCs w:val="24"/>
        </w:rPr>
        <w:t xml:space="preserve"> </w:t>
      </w:r>
      <w:r>
        <w:rPr>
          <w:rFonts w:ascii="Corbel" w:eastAsia="TimesNewRoman" w:hAnsi="Corbel" w:cs="Times New Roman"/>
          <w:iCs/>
          <w:sz w:val="24"/>
          <w:szCs w:val="24"/>
        </w:rPr>
        <w:t>[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Austin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2011; </w:t>
      </w:r>
      <w:r>
        <w:rPr>
          <w:rFonts w:ascii="Times New Roman" w:hAnsi="Times New Roman" w:cs="Times New Roman"/>
          <w:color w:val="353C3F"/>
          <w:sz w:val="24"/>
          <w:szCs w:val="24"/>
          <w:shd w:val="clear" w:color="auto" w:fill="FFFFFF"/>
          <w:lang w:val="en-US"/>
        </w:rPr>
        <w:t>Matias</w:t>
      </w:r>
      <w:r>
        <w:rPr>
          <w:rFonts w:ascii="Times New Roman" w:hAnsi="Times New Roman" w:cs="Times New Roman"/>
          <w:color w:val="353C3F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53C3F"/>
          <w:sz w:val="24"/>
          <w:szCs w:val="24"/>
          <w:shd w:val="clear" w:color="auto" w:fill="FFFFFF"/>
          <w:lang w:val="en-US"/>
        </w:rPr>
        <w:t>et</w:t>
      </w:r>
      <w:r w:rsidRPr="00056E1C">
        <w:rPr>
          <w:rFonts w:ascii="Times New Roman" w:hAnsi="Times New Roman" w:cs="Times New Roman"/>
          <w:color w:val="353C3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53C3F"/>
          <w:sz w:val="24"/>
          <w:szCs w:val="24"/>
          <w:shd w:val="clear" w:color="auto" w:fill="FFFFFF"/>
          <w:lang w:val="en-US"/>
        </w:rPr>
        <w:t>al</w:t>
      </w:r>
      <w:r>
        <w:rPr>
          <w:rFonts w:ascii="Times New Roman" w:hAnsi="Times New Roman" w:cs="Times New Roman"/>
          <w:color w:val="353C3F"/>
          <w:sz w:val="24"/>
          <w:szCs w:val="24"/>
          <w:shd w:val="clear" w:color="auto" w:fill="FFFFFF"/>
        </w:rPr>
        <w:t>., 2009;</w:t>
      </w:r>
      <w:r>
        <w:rPr>
          <w:rFonts w:ascii="TimesNewRoman" w:eastAsia="TimesNewRoman" w:cs="TimesNew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Gertler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53C3F"/>
          <w:sz w:val="24"/>
          <w:szCs w:val="24"/>
          <w:shd w:val="clear" w:color="auto" w:fill="FFFFFF"/>
          <w:lang w:val="en-US"/>
        </w:rPr>
        <w:t>et</w:t>
      </w:r>
      <w:r w:rsidRPr="00056E1C">
        <w:rPr>
          <w:rFonts w:ascii="Times New Roman" w:hAnsi="Times New Roman" w:cs="Times New Roman"/>
          <w:color w:val="353C3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53C3F"/>
          <w:sz w:val="24"/>
          <w:szCs w:val="24"/>
          <w:shd w:val="clear" w:color="auto" w:fill="FFFFFF"/>
          <w:lang w:val="en-US"/>
        </w:rPr>
        <w:t>al</w:t>
      </w:r>
      <w:r>
        <w:rPr>
          <w:rFonts w:ascii="Times New Roman" w:hAnsi="Times New Roman" w:cs="Times New Roman"/>
          <w:color w:val="353C3F"/>
          <w:sz w:val="24"/>
          <w:szCs w:val="24"/>
          <w:shd w:val="clear" w:color="auto" w:fill="FFFFFF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2016</w:t>
      </w:r>
      <w:r>
        <w:rPr>
          <w:rFonts w:ascii="Corbel" w:eastAsia="Times New Roman" w:hAnsi="Corbel" w:cs="Times New Roman"/>
          <w:color w:val="000000"/>
          <w:kern w:val="36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proofErr w:type="gramEnd"/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В дополнение к методологии PSM используется регрессионный анализ для определения более сложного эффекта воздействия секьюритизации на деятельность оригинатора – ее влияние на кредитное предложение через рефинансирование кредитного портфеля. </w:t>
      </w:r>
      <w:r>
        <w:rPr>
          <w:rFonts w:ascii="Times New Roman" w:eastAsia="TimesNewRoman" w:hAnsi="Times New Roman" w:cs="Times New Roman"/>
          <w:iCs/>
          <w:sz w:val="24"/>
          <w:szCs w:val="24"/>
        </w:rPr>
        <w:t>Методология</w:t>
      </w:r>
      <w:r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i/>
          <w:iCs/>
          <w:sz w:val="24"/>
          <w:szCs w:val="24"/>
          <w:lang w:val="en-US"/>
        </w:rPr>
        <w:t>Dynamic</w:t>
      </w:r>
      <w:r w:rsidRPr="00056E1C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i/>
          <w:iCs/>
          <w:sz w:val="24"/>
          <w:szCs w:val="24"/>
          <w:lang w:val="en-US"/>
        </w:rPr>
        <w:t>Panel</w:t>
      </w:r>
      <w:r w:rsidRPr="00056E1C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i/>
          <w:iCs/>
          <w:sz w:val="24"/>
          <w:szCs w:val="24"/>
          <w:lang w:val="en-US"/>
        </w:rPr>
        <w:t>Data</w:t>
      </w:r>
      <w:r w:rsidRPr="00056E1C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i/>
          <w:iCs/>
          <w:sz w:val="24"/>
          <w:szCs w:val="24"/>
          <w:lang w:val="en-US"/>
        </w:rPr>
        <w:t>Model</w:t>
      </w:r>
      <w:r w:rsidRPr="00056E1C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(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DPD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) позволяет учесть, что такое влияние происходит не одномоментно, а распределено во времени </w:t>
      </w:r>
      <w:r>
        <w:rPr>
          <w:rFonts w:ascii="Corbel" w:eastAsia="TimesNewRoman" w:hAnsi="Corbel" w:cs="Times New Roman"/>
          <w:sz w:val="24"/>
          <w:szCs w:val="24"/>
        </w:rPr>
        <w:t>[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Anderson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Hsiao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1982;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Arellano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Bond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1991;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Arellano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Bover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1995;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Goderis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et</w:t>
      </w:r>
      <w:r w:rsidRPr="00056E1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eastAsia="TimesNewRoman" w:hAnsi="Times New Roman" w:cs="Times New Roman"/>
          <w:sz w:val="24"/>
          <w:szCs w:val="24"/>
        </w:rPr>
        <w:t>., 2007</w:t>
      </w:r>
      <w:r>
        <w:rPr>
          <w:rFonts w:ascii="Corbel" w:eastAsia="TimesNewRoman" w:hAnsi="Corbel" w:cs="Times New Roman"/>
          <w:sz w:val="24"/>
          <w:szCs w:val="24"/>
        </w:rPr>
        <w:t>]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056E1C" w:rsidRDefault="00056E1C" w:rsidP="00056E1C">
      <w:pPr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исследовании используется база данных ЦБ РФ по показателям деятельности банков и база данных </w:t>
      </w:r>
      <w:r>
        <w:rPr>
          <w:rFonts w:ascii="Times New Roman" w:hAnsi="Times New Roman" w:cs="Times New Roman"/>
          <w:sz w:val="24"/>
          <w:szCs w:val="24"/>
          <w:lang w:val="en-US"/>
        </w:rPr>
        <w:t>Cbonds</w:t>
      </w:r>
      <w:r w:rsidRPr="00056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информация о датах и объемах сделок секъюритизации. Период исследования: IV квартал 2012 – IV квартал 2017 (квартальные данные). Выборка включает </w:t>
      </w:r>
      <w:r>
        <w:rPr>
          <w:rFonts w:ascii="Times New Roman" w:eastAsia="TimesNewRoman" w:hAnsi="Times New Roman" w:cs="Times New Roman"/>
          <w:sz w:val="24"/>
          <w:szCs w:val="24"/>
        </w:rPr>
        <w:t>401 банк с капиталом более 1 млрд. руб., в т.ч. 32 оригинатора, число наблюдений – 7961.</w:t>
      </w:r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Propensity Score Matching with Difference-in-Difference: </w:t>
      </w:r>
      <w:r>
        <w:rPr>
          <w:rFonts w:ascii="Times New Roman" w:eastAsia="TimesNewRoman" w:hAnsi="Times New Roman" w:cs="Times New Roman"/>
          <w:b/>
          <w:sz w:val="24"/>
          <w:szCs w:val="24"/>
        </w:rPr>
        <w:t>оценка</w:t>
      </w:r>
      <w:r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NewRoman" w:hAnsi="Times New Roman" w:cs="Times New Roman"/>
          <w:b/>
          <w:sz w:val="24"/>
          <w:szCs w:val="24"/>
        </w:rPr>
        <w:t>среднего</w:t>
      </w:r>
      <w:r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NewRoman" w:hAnsi="Times New Roman" w:cs="Times New Roman"/>
          <w:b/>
          <w:sz w:val="24"/>
          <w:szCs w:val="24"/>
        </w:rPr>
        <w:t>эффекта</w:t>
      </w:r>
      <w:r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NewRoman" w:hAnsi="Times New Roman" w:cs="Times New Roman"/>
          <w:b/>
          <w:sz w:val="24"/>
          <w:szCs w:val="24"/>
        </w:rPr>
        <w:t>воздействия</w:t>
      </w:r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Результаты модели показывают, что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ипотечная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секьюритизация увеличивает долю ликвидных активов на 149 б. п., увеличивает долю просроченной задолженности на 115 б. п., снижает чистую процентную маржу на 61 б. п. и не влияет на остальные показатели.</w:t>
      </w:r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Рост доли ликвидных активов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является следствием рефинансирования кредитного портфеля банка-оригинатора и является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основным эффектом секьюритизации.</w:t>
      </w:r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Увеличение доли просроченной задолженности можно объяснить включением банками-оригинаторами в пул продаваемых кредитов ссуд лучшего качества по сравнению с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удерживаемыми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на балансе. Этот факт свидетельствует о том, что секьюритизация не является инструментом управления кредитным риском в российских банках. </w:t>
      </w:r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Снижение чистой процентной маржи происходит за счет сокращения процентного дохода, генерируемого проданными кредитами, и ухудшением качества кредитного портфеля. При этом воздействия на рентабельность активов и капитала не происходит, так как эти показатели зависят от целого ряда других факторов.</w:t>
      </w:r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Dynamic Panel Data Model: оценка среднего эффекта воздействия секъюритизации на кредитное предложение со стороны оригинатора</w:t>
      </w:r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FF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Результаты анализа этого воздействия показывают, что использование секьюритизации оригинатором увеличивает его кредитный портфель на 88% через рефинансирование кредитов. При этом достижение подобного результата не оригинатором, при прочих равных, возможно благодаря наращиванию капитала на 142%. </w:t>
      </w:r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Выводы</w:t>
      </w:r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Исходя из результатов оценок обеих моделей можно заключить, что единственной и существенной выгодой ипотечной секьюритизации для российского оригинатора, кроме роста доли ликвидных активов, является возможность увеличения целевого объема кредитного портфеля.</w:t>
      </w:r>
      <w:proofErr w:type="gramEnd"/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В отличие от зарубежной практики секьюритизация в России не влияет на стоимость фондирования, возможность регулятивного арбитража и рост прибыльности, а также не является инструментом снижения кредитного риска.</w:t>
      </w:r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Таким образом, в российских условиях потенциал механизма ипотечной секьюритизации пока не используется полностью, а его отрицательное влияние на некоторые ключевые показатели деятельности банков подтверждает роль секьюритизации в усилении системных рисков.  </w:t>
      </w:r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Результаты данного исследования могут быть приняты во внимание коммерческими банками при принятии решения о сделках ипотечной секьюритизации, а также органами надзора для совершенствования регулятивных требований, применяемых к таким сделкам.</w:t>
      </w:r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56E1C" w:rsidRDefault="00056E1C" w:rsidP="00056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942EC" w:rsidRPr="00056E1C" w:rsidRDefault="00C942EC" w:rsidP="00903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sectPr w:rsidR="00C942EC" w:rsidRPr="00056E1C" w:rsidSect="006A5295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DB9" w:rsidRDefault="00F87DB9" w:rsidP="00DE7A2E">
      <w:pPr>
        <w:spacing w:after="0" w:line="240" w:lineRule="auto"/>
      </w:pPr>
      <w:r>
        <w:separator/>
      </w:r>
    </w:p>
  </w:endnote>
  <w:endnote w:type="continuationSeparator" w:id="0">
    <w:p w:rsidR="00F87DB9" w:rsidRDefault="00F87DB9" w:rsidP="00DE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9156"/>
      <w:docPartObj>
        <w:docPartGallery w:val="Page Numbers (Bottom of Page)"/>
        <w:docPartUnique/>
      </w:docPartObj>
    </w:sdtPr>
    <w:sdtContent>
      <w:p w:rsidR="00CF5008" w:rsidRDefault="00C71C37">
        <w:pPr>
          <w:pStyle w:val="a7"/>
          <w:jc w:val="right"/>
        </w:pPr>
        <w:fldSimple w:instr=" PAGE   \* MERGEFORMAT ">
          <w:r w:rsidR="00563431">
            <w:rPr>
              <w:noProof/>
            </w:rPr>
            <w:t>1</w:t>
          </w:r>
        </w:fldSimple>
      </w:p>
    </w:sdtContent>
  </w:sdt>
  <w:p w:rsidR="00CF5008" w:rsidRDefault="00CF50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DB9" w:rsidRDefault="00F87DB9" w:rsidP="00DE7A2E">
      <w:pPr>
        <w:spacing w:after="0" w:line="240" w:lineRule="auto"/>
      </w:pPr>
      <w:r>
        <w:separator/>
      </w:r>
    </w:p>
  </w:footnote>
  <w:footnote w:type="continuationSeparator" w:id="0">
    <w:p w:rsidR="00F87DB9" w:rsidRDefault="00F87DB9" w:rsidP="00DE7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14AA"/>
    <w:multiLevelType w:val="multilevel"/>
    <w:tmpl w:val="D210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14C8"/>
    <w:rsid w:val="000006AB"/>
    <w:rsid w:val="0000454D"/>
    <w:rsid w:val="000114C0"/>
    <w:rsid w:val="00013C61"/>
    <w:rsid w:val="000173F0"/>
    <w:rsid w:val="00020C8E"/>
    <w:rsid w:val="00022489"/>
    <w:rsid w:val="00022BFA"/>
    <w:rsid w:val="000301E7"/>
    <w:rsid w:val="000347D4"/>
    <w:rsid w:val="000413CD"/>
    <w:rsid w:val="000530EA"/>
    <w:rsid w:val="00056E1C"/>
    <w:rsid w:val="0005723A"/>
    <w:rsid w:val="00060AFF"/>
    <w:rsid w:val="00065073"/>
    <w:rsid w:val="00065291"/>
    <w:rsid w:val="0007679D"/>
    <w:rsid w:val="00082131"/>
    <w:rsid w:val="00090506"/>
    <w:rsid w:val="000918F9"/>
    <w:rsid w:val="00091B68"/>
    <w:rsid w:val="0009667C"/>
    <w:rsid w:val="000A0DF0"/>
    <w:rsid w:val="000B3FAA"/>
    <w:rsid w:val="000B69CC"/>
    <w:rsid w:val="000C32AC"/>
    <w:rsid w:val="000C3676"/>
    <w:rsid w:val="000C598F"/>
    <w:rsid w:val="000C64FC"/>
    <w:rsid w:val="000C79A5"/>
    <w:rsid w:val="000D170D"/>
    <w:rsid w:val="000D44BE"/>
    <w:rsid w:val="000D6E26"/>
    <w:rsid w:val="000D7896"/>
    <w:rsid w:val="000E238F"/>
    <w:rsid w:val="000E3D4C"/>
    <w:rsid w:val="000E4263"/>
    <w:rsid w:val="000E70A1"/>
    <w:rsid w:val="000F0D17"/>
    <w:rsid w:val="000F4ED6"/>
    <w:rsid w:val="000F541F"/>
    <w:rsid w:val="00102E74"/>
    <w:rsid w:val="00105600"/>
    <w:rsid w:val="00107872"/>
    <w:rsid w:val="00107F83"/>
    <w:rsid w:val="00110ECF"/>
    <w:rsid w:val="00114945"/>
    <w:rsid w:val="00114E60"/>
    <w:rsid w:val="00127D63"/>
    <w:rsid w:val="00130A5E"/>
    <w:rsid w:val="00132F1E"/>
    <w:rsid w:val="00140F29"/>
    <w:rsid w:val="00142603"/>
    <w:rsid w:val="00147B5F"/>
    <w:rsid w:val="001517F5"/>
    <w:rsid w:val="00153950"/>
    <w:rsid w:val="001637C1"/>
    <w:rsid w:val="00175531"/>
    <w:rsid w:val="0017556C"/>
    <w:rsid w:val="00176A94"/>
    <w:rsid w:val="00182E08"/>
    <w:rsid w:val="00182E98"/>
    <w:rsid w:val="001846BF"/>
    <w:rsid w:val="001846E5"/>
    <w:rsid w:val="001877E2"/>
    <w:rsid w:val="001A6C7B"/>
    <w:rsid w:val="001A71C1"/>
    <w:rsid w:val="001B3782"/>
    <w:rsid w:val="001B525F"/>
    <w:rsid w:val="001B70EB"/>
    <w:rsid w:val="001C071A"/>
    <w:rsid w:val="001D4ABF"/>
    <w:rsid w:val="001D51B0"/>
    <w:rsid w:val="001E0C63"/>
    <w:rsid w:val="001E0E3A"/>
    <w:rsid w:val="001E11A8"/>
    <w:rsid w:val="001E467A"/>
    <w:rsid w:val="001F0734"/>
    <w:rsid w:val="001F559D"/>
    <w:rsid w:val="001F5BA0"/>
    <w:rsid w:val="001F7098"/>
    <w:rsid w:val="00205108"/>
    <w:rsid w:val="00206B91"/>
    <w:rsid w:val="00210477"/>
    <w:rsid w:val="0021199A"/>
    <w:rsid w:val="002158E0"/>
    <w:rsid w:val="00217122"/>
    <w:rsid w:val="00220BEF"/>
    <w:rsid w:val="0022109E"/>
    <w:rsid w:val="002311D1"/>
    <w:rsid w:val="00232E20"/>
    <w:rsid w:val="00233A66"/>
    <w:rsid w:val="00234597"/>
    <w:rsid w:val="00236FB6"/>
    <w:rsid w:val="00242030"/>
    <w:rsid w:val="0024309A"/>
    <w:rsid w:val="0024447C"/>
    <w:rsid w:val="0025031A"/>
    <w:rsid w:val="0026097C"/>
    <w:rsid w:val="00263E04"/>
    <w:rsid w:val="002653D1"/>
    <w:rsid w:val="002740BD"/>
    <w:rsid w:val="002774B6"/>
    <w:rsid w:val="002805A5"/>
    <w:rsid w:val="00280AB3"/>
    <w:rsid w:val="00280E11"/>
    <w:rsid w:val="00287F1A"/>
    <w:rsid w:val="00295B7D"/>
    <w:rsid w:val="00295C20"/>
    <w:rsid w:val="002A3958"/>
    <w:rsid w:val="002A3E8F"/>
    <w:rsid w:val="002B2A51"/>
    <w:rsid w:val="002B2ED2"/>
    <w:rsid w:val="002C6A1A"/>
    <w:rsid w:val="002C710F"/>
    <w:rsid w:val="002D13BC"/>
    <w:rsid w:val="002D3390"/>
    <w:rsid w:val="002E30DE"/>
    <w:rsid w:val="002E5824"/>
    <w:rsid w:val="002E7549"/>
    <w:rsid w:val="002E7DBC"/>
    <w:rsid w:val="002F26BD"/>
    <w:rsid w:val="002F7B6D"/>
    <w:rsid w:val="00301905"/>
    <w:rsid w:val="003033B7"/>
    <w:rsid w:val="003114C8"/>
    <w:rsid w:val="00322A8C"/>
    <w:rsid w:val="00324966"/>
    <w:rsid w:val="00330270"/>
    <w:rsid w:val="00334996"/>
    <w:rsid w:val="00335BB4"/>
    <w:rsid w:val="00344C2B"/>
    <w:rsid w:val="003450C2"/>
    <w:rsid w:val="00346E7B"/>
    <w:rsid w:val="003471E7"/>
    <w:rsid w:val="00347C68"/>
    <w:rsid w:val="003512E1"/>
    <w:rsid w:val="003554B0"/>
    <w:rsid w:val="003601C5"/>
    <w:rsid w:val="00367303"/>
    <w:rsid w:val="00367BB2"/>
    <w:rsid w:val="0037233B"/>
    <w:rsid w:val="0037726C"/>
    <w:rsid w:val="003775B1"/>
    <w:rsid w:val="00382658"/>
    <w:rsid w:val="003875D6"/>
    <w:rsid w:val="00391AF8"/>
    <w:rsid w:val="003A273D"/>
    <w:rsid w:val="003A4C75"/>
    <w:rsid w:val="003B0444"/>
    <w:rsid w:val="003B2A46"/>
    <w:rsid w:val="003D2162"/>
    <w:rsid w:val="003D4DD6"/>
    <w:rsid w:val="003D5F9A"/>
    <w:rsid w:val="003E0F89"/>
    <w:rsid w:val="003E190A"/>
    <w:rsid w:val="003E1BBC"/>
    <w:rsid w:val="003E64B5"/>
    <w:rsid w:val="003F39FF"/>
    <w:rsid w:val="003F690D"/>
    <w:rsid w:val="00402A88"/>
    <w:rsid w:val="00402DE6"/>
    <w:rsid w:val="004078E7"/>
    <w:rsid w:val="00410D80"/>
    <w:rsid w:val="00410E44"/>
    <w:rsid w:val="00412168"/>
    <w:rsid w:val="004127BA"/>
    <w:rsid w:val="00413CA5"/>
    <w:rsid w:val="004166EF"/>
    <w:rsid w:val="00421FAD"/>
    <w:rsid w:val="00424DFF"/>
    <w:rsid w:val="004308B2"/>
    <w:rsid w:val="00432D2B"/>
    <w:rsid w:val="00432D7B"/>
    <w:rsid w:val="00434718"/>
    <w:rsid w:val="00435DAF"/>
    <w:rsid w:val="0043714A"/>
    <w:rsid w:val="00440435"/>
    <w:rsid w:val="00441220"/>
    <w:rsid w:val="0044471F"/>
    <w:rsid w:val="0044598C"/>
    <w:rsid w:val="00450601"/>
    <w:rsid w:val="00452511"/>
    <w:rsid w:val="004525B1"/>
    <w:rsid w:val="00454E08"/>
    <w:rsid w:val="00455719"/>
    <w:rsid w:val="004612CC"/>
    <w:rsid w:val="0046256C"/>
    <w:rsid w:val="00463133"/>
    <w:rsid w:val="004720F8"/>
    <w:rsid w:val="004826B6"/>
    <w:rsid w:val="00491B29"/>
    <w:rsid w:val="004969C0"/>
    <w:rsid w:val="004A0D05"/>
    <w:rsid w:val="004B524A"/>
    <w:rsid w:val="004C13D2"/>
    <w:rsid w:val="004C4EEA"/>
    <w:rsid w:val="004C5B3F"/>
    <w:rsid w:val="004C5BA3"/>
    <w:rsid w:val="004E16F6"/>
    <w:rsid w:val="004E30FB"/>
    <w:rsid w:val="004E3501"/>
    <w:rsid w:val="004E381F"/>
    <w:rsid w:val="004E61C1"/>
    <w:rsid w:val="004E7865"/>
    <w:rsid w:val="004F1FAF"/>
    <w:rsid w:val="004F4461"/>
    <w:rsid w:val="004F55E4"/>
    <w:rsid w:val="00501EDF"/>
    <w:rsid w:val="005022E5"/>
    <w:rsid w:val="005047CC"/>
    <w:rsid w:val="00505C22"/>
    <w:rsid w:val="00506B8F"/>
    <w:rsid w:val="00506FAC"/>
    <w:rsid w:val="005074A8"/>
    <w:rsid w:val="00512D9E"/>
    <w:rsid w:val="00516EA1"/>
    <w:rsid w:val="00520144"/>
    <w:rsid w:val="00522644"/>
    <w:rsid w:val="005361C0"/>
    <w:rsid w:val="00536234"/>
    <w:rsid w:val="0054204C"/>
    <w:rsid w:val="005435A5"/>
    <w:rsid w:val="00547B37"/>
    <w:rsid w:val="005503CC"/>
    <w:rsid w:val="005526CB"/>
    <w:rsid w:val="00555262"/>
    <w:rsid w:val="00556ED2"/>
    <w:rsid w:val="00561AA9"/>
    <w:rsid w:val="005621B4"/>
    <w:rsid w:val="00563431"/>
    <w:rsid w:val="0056459F"/>
    <w:rsid w:val="00566EDE"/>
    <w:rsid w:val="00570A0D"/>
    <w:rsid w:val="00571CED"/>
    <w:rsid w:val="00577A1A"/>
    <w:rsid w:val="00590E73"/>
    <w:rsid w:val="005925D0"/>
    <w:rsid w:val="0059380D"/>
    <w:rsid w:val="00593FC0"/>
    <w:rsid w:val="00596C8D"/>
    <w:rsid w:val="005A349B"/>
    <w:rsid w:val="005B05F0"/>
    <w:rsid w:val="005B062A"/>
    <w:rsid w:val="005B0994"/>
    <w:rsid w:val="005B211B"/>
    <w:rsid w:val="005B27DD"/>
    <w:rsid w:val="005C59B9"/>
    <w:rsid w:val="005D1BED"/>
    <w:rsid w:val="005D5EC9"/>
    <w:rsid w:val="005D66B6"/>
    <w:rsid w:val="005E32CB"/>
    <w:rsid w:val="005E5CC5"/>
    <w:rsid w:val="005E759E"/>
    <w:rsid w:val="005F0AF4"/>
    <w:rsid w:val="005F33F2"/>
    <w:rsid w:val="005F4998"/>
    <w:rsid w:val="0060088D"/>
    <w:rsid w:val="00601634"/>
    <w:rsid w:val="0061303F"/>
    <w:rsid w:val="0061369C"/>
    <w:rsid w:val="006159D9"/>
    <w:rsid w:val="006238A9"/>
    <w:rsid w:val="00623BD8"/>
    <w:rsid w:val="00635A7E"/>
    <w:rsid w:val="00640A62"/>
    <w:rsid w:val="006435B7"/>
    <w:rsid w:val="0064546D"/>
    <w:rsid w:val="00647A0C"/>
    <w:rsid w:val="0065054B"/>
    <w:rsid w:val="00650E79"/>
    <w:rsid w:val="00650FA0"/>
    <w:rsid w:val="00651E19"/>
    <w:rsid w:val="00651E44"/>
    <w:rsid w:val="0065342F"/>
    <w:rsid w:val="0065397D"/>
    <w:rsid w:val="00655B55"/>
    <w:rsid w:val="006560D5"/>
    <w:rsid w:val="00660920"/>
    <w:rsid w:val="00661648"/>
    <w:rsid w:val="006626C2"/>
    <w:rsid w:val="00664158"/>
    <w:rsid w:val="00677855"/>
    <w:rsid w:val="00680529"/>
    <w:rsid w:val="00682E51"/>
    <w:rsid w:val="0068389B"/>
    <w:rsid w:val="00685A2D"/>
    <w:rsid w:val="0069162A"/>
    <w:rsid w:val="0069265B"/>
    <w:rsid w:val="00693E34"/>
    <w:rsid w:val="006A0D38"/>
    <w:rsid w:val="006A3909"/>
    <w:rsid w:val="006A406E"/>
    <w:rsid w:val="006A5295"/>
    <w:rsid w:val="006C0489"/>
    <w:rsid w:val="006C2DF4"/>
    <w:rsid w:val="006C6F95"/>
    <w:rsid w:val="006C7F70"/>
    <w:rsid w:val="006D0156"/>
    <w:rsid w:val="006D2AFC"/>
    <w:rsid w:val="006D5E1D"/>
    <w:rsid w:val="006D5F38"/>
    <w:rsid w:val="006E203D"/>
    <w:rsid w:val="006E2241"/>
    <w:rsid w:val="006E4072"/>
    <w:rsid w:val="006E71A8"/>
    <w:rsid w:val="006E7886"/>
    <w:rsid w:val="006F288B"/>
    <w:rsid w:val="006F57E1"/>
    <w:rsid w:val="006F762D"/>
    <w:rsid w:val="00700A71"/>
    <w:rsid w:val="007010E2"/>
    <w:rsid w:val="00702948"/>
    <w:rsid w:val="00706DE1"/>
    <w:rsid w:val="00707C65"/>
    <w:rsid w:val="00711EFD"/>
    <w:rsid w:val="007134BB"/>
    <w:rsid w:val="00713B86"/>
    <w:rsid w:val="00714E66"/>
    <w:rsid w:val="00715A38"/>
    <w:rsid w:val="00717080"/>
    <w:rsid w:val="007207BC"/>
    <w:rsid w:val="00721757"/>
    <w:rsid w:val="00723BE2"/>
    <w:rsid w:val="0072611F"/>
    <w:rsid w:val="00734671"/>
    <w:rsid w:val="0074199B"/>
    <w:rsid w:val="00741CF6"/>
    <w:rsid w:val="007453D8"/>
    <w:rsid w:val="00753B0C"/>
    <w:rsid w:val="00755DD7"/>
    <w:rsid w:val="0075794F"/>
    <w:rsid w:val="00761B42"/>
    <w:rsid w:val="00765E3A"/>
    <w:rsid w:val="00766C6E"/>
    <w:rsid w:val="00767899"/>
    <w:rsid w:val="0077190D"/>
    <w:rsid w:val="007742B5"/>
    <w:rsid w:val="007774C8"/>
    <w:rsid w:val="007809ED"/>
    <w:rsid w:val="007870BD"/>
    <w:rsid w:val="00792C80"/>
    <w:rsid w:val="0079582A"/>
    <w:rsid w:val="007A329D"/>
    <w:rsid w:val="007A5291"/>
    <w:rsid w:val="007B1BC1"/>
    <w:rsid w:val="007B5FF7"/>
    <w:rsid w:val="007C2CB8"/>
    <w:rsid w:val="007C534D"/>
    <w:rsid w:val="007C7319"/>
    <w:rsid w:val="007C76AA"/>
    <w:rsid w:val="007D1578"/>
    <w:rsid w:val="007E3EEE"/>
    <w:rsid w:val="007E4952"/>
    <w:rsid w:val="007E7DE5"/>
    <w:rsid w:val="007F3C9B"/>
    <w:rsid w:val="007F47EF"/>
    <w:rsid w:val="007F532F"/>
    <w:rsid w:val="007F6094"/>
    <w:rsid w:val="00802DDA"/>
    <w:rsid w:val="00820631"/>
    <w:rsid w:val="00821716"/>
    <w:rsid w:val="008304D1"/>
    <w:rsid w:val="00831454"/>
    <w:rsid w:val="00832975"/>
    <w:rsid w:val="00835331"/>
    <w:rsid w:val="008373A1"/>
    <w:rsid w:val="0085085E"/>
    <w:rsid w:val="00857F97"/>
    <w:rsid w:val="008760F6"/>
    <w:rsid w:val="00883826"/>
    <w:rsid w:val="0089304A"/>
    <w:rsid w:val="008A4FE4"/>
    <w:rsid w:val="008A709A"/>
    <w:rsid w:val="008A7CE1"/>
    <w:rsid w:val="008B09B9"/>
    <w:rsid w:val="008B0ABA"/>
    <w:rsid w:val="008B1E95"/>
    <w:rsid w:val="008C259D"/>
    <w:rsid w:val="008D53DE"/>
    <w:rsid w:val="008D5580"/>
    <w:rsid w:val="008D6C2F"/>
    <w:rsid w:val="008F143E"/>
    <w:rsid w:val="008F3498"/>
    <w:rsid w:val="008F3C3A"/>
    <w:rsid w:val="008F7497"/>
    <w:rsid w:val="00902253"/>
    <w:rsid w:val="0090385C"/>
    <w:rsid w:val="00910FA4"/>
    <w:rsid w:val="0091278D"/>
    <w:rsid w:val="00912DA4"/>
    <w:rsid w:val="0091710A"/>
    <w:rsid w:val="0092005A"/>
    <w:rsid w:val="00922650"/>
    <w:rsid w:val="009241DD"/>
    <w:rsid w:val="00925B53"/>
    <w:rsid w:val="00926CA0"/>
    <w:rsid w:val="00930DA1"/>
    <w:rsid w:val="0093126D"/>
    <w:rsid w:val="00932717"/>
    <w:rsid w:val="009348A1"/>
    <w:rsid w:val="00937182"/>
    <w:rsid w:val="009404BA"/>
    <w:rsid w:val="00944732"/>
    <w:rsid w:val="00944B0E"/>
    <w:rsid w:val="00956A62"/>
    <w:rsid w:val="00957EA6"/>
    <w:rsid w:val="00962466"/>
    <w:rsid w:val="009625B9"/>
    <w:rsid w:val="009633A0"/>
    <w:rsid w:val="00963924"/>
    <w:rsid w:val="00964F41"/>
    <w:rsid w:val="009755A4"/>
    <w:rsid w:val="00981356"/>
    <w:rsid w:val="0098255B"/>
    <w:rsid w:val="00986D5C"/>
    <w:rsid w:val="00993035"/>
    <w:rsid w:val="009940BD"/>
    <w:rsid w:val="009941AE"/>
    <w:rsid w:val="0099567A"/>
    <w:rsid w:val="00997F48"/>
    <w:rsid w:val="009A3FE5"/>
    <w:rsid w:val="009B167A"/>
    <w:rsid w:val="009B41C0"/>
    <w:rsid w:val="009B44E9"/>
    <w:rsid w:val="009B5698"/>
    <w:rsid w:val="009B7F24"/>
    <w:rsid w:val="009C0830"/>
    <w:rsid w:val="009C326A"/>
    <w:rsid w:val="009C5BC6"/>
    <w:rsid w:val="009D4E13"/>
    <w:rsid w:val="009D72E7"/>
    <w:rsid w:val="009D74A2"/>
    <w:rsid w:val="009E1441"/>
    <w:rsid w:val="009E54D2"/>
    <w:rsid w:val="009E6B5C"/>
    <w:rsid w:val="009F62DA"/>
    <w:rsid w:val="009F691F"/>
    <w:rsid w:val="009F6E15"/>
    <w:rsid w:val="00A007A7"/>
    <w:rsid w:val="00A03645"/>
    <w:rsid w:val="00A05DD5"/>
    <w:rsid w:val="00A11D42"/>
    <w:rsid w:val="00A1467B"/>
    <w:rsid w:val="00A14F86"/>
    <w:rsid w:val="00A157C3"/>
    <w:rsid w:val="00A220ED"/>
    <w:rsid w:val="00A236EF"/>
    <w:rsid w:val="00A2534D"/>
    <w:rsid w:val="00A266A2"/>
    <w:rsid w:val="00A304DD"/>
    <w:rsid w:val="00A327D3"/>
    <w:rsid w:val="00A348B0"/>
    <w:rsid w:val="00A406C3"/>
    <w:rsid w:val="00A50573"/>
    <w:rsid w:val="00A528A2"/>
    <w:rsid w:val="00A549A5"/>
    <w:rsid w:val="00A618D7"/>
    <w:rsid w:val="00A64E50"/>
    <w:rsid w:val="00A66998"/>
    <w:rsid w:val="00A80B21"/>
    <w:rsid w:val="00A866F1"/>
    <w:rsid w:val="00A87B44"/>
    <w:rsid w:val="00A93CA4"/>
    <w:rsid w:val="00A945DB"/>
    <w:rsid w:val="00A9549B"/>
    <w:rsid w:val="00A96DDC"/>
    <w:rsid w:val="00AA4A06"/>
    <w:rsid w:val="00AA5C8A"/>
    <w:rsid w:val="00AA6A35"/>
    <w:rsid w:val="00AC11BD"/>
    <w:rsid w:val="00AC270C"/>
    <w:rsid w:val="00AD35D7"/>
    <w:rsid w:val="00AD5E5F"/>
    <w:rsid w:val="00AE2740"/>
    <w:rsid w:val="00AE4C75"/>
    <w:rsid w:val="00AF159D"/>
    <w:rsid w:val="00AF2867"/>
    <w:rsid w:val="00AF28E3"/>
    <w:rsid w:val="00AF47C0"/>
    <w:rsid w:val="00B05377"/>
    <w:rsid w:val="00B11076"/>
    <w:rsid w:val="00B14A1B"/>
    <w:rsid w:val="00B159EC"/>
    <w:rsid w:val="00B15D24"/>
    <w:rsid w:val="00B2684F"/>
    <w:rsid w:val="00B2749D"/>
    <w:rsid w:val="00B32048"/>
    <w:rsid w:val="00B47CF8"/>
    <w:rsid w:val="00B5009E"/>
    <w:rsid w:val="00B53288"/>
    <w:rsid w:val="00B55DDF"/>
    <w:rsid w:val="00B60DBA"/>
    <w:rsid w:val="00B65205"/>
    <w:rsid w:val="00B756E4"/>
    <w:rsid w:val="00B76E1E"/>
    <w:rsid w:val="00B81D49"/>
    <w:rsid w:val="00B858D9"/>
    <w:rsid w:val="00B91D21"/>
    <w:rsid w:val="00B94450"/>
    <w:rsid w:val="00BA239D"/>
    <w:rsid w:val="00BA23BE"/>
    <w:rsid w:val="00BA2FC2"/>
    <w:rsid w:val="00BA3D45"/>
    <w:rsid w:val="00BA6845"/>
    <w:rsid w:val="00BA7ACC"/>
    <w:rsid w:val="00BB4BCF"/>
    <w:rsid w:val="00BB60DD"/>
    <w:rsid w:val="00BC0279"/>
    <w:rsid w:val="00BC3FE0"/>
    <w:rsid w:val="00BC5E1B"/>
    <w:rsid w:val="00BD1DD3"/>
    <w:rsid w:val="00BD2F78"/>
    <w:rsid w:val="00BD617E"/>
    <w:rsid w:val="00BD766E"/>
    <w:rsid w:val="00BE0B46"/>
    <w:rsid w:val="00BF1910"/>
    <w:rsid w:val="00C21455"/>
    <w:rsid w:val="00C2260C"/>
    <w:rsid w:val="00C27B3C"/>
    <w:rsid w:val="00C34E4C"/>
    <w:rsid w:val="00C359B5"/>
    <w:rsid w:val="00C36714"/>
    <w:rsid w:val="00C37A6F"/>
    <w:rsid w:val="00C41060"/>
    <w:rsid w:val="00C43925"/>
    <w:rsid w:val="00C60756"/>
    <w:rsid w:val="00C62F04"/>
    <w:rsid w:val="00C64286"/>
    <w:rsid w:val="00C64BA7"/>
    <w:rsid w:val="00C71C37"/>
    <w:rsid w:val="00C73606"/>
    <w:rsid w:val="00C82E79"/>
    <w:rsid w:val="00C84712"/>
    <w:rsid w:val="00C85F11"/>
    <w:rsid w:val="00C92991"/>
    <w:rsid w:val="00C9320E"/>
    <w:rsid w:val="00C942EC"/>
    <w:rsid w:val="00CA0B73"/>
    <w:rsid w:val="00CB06DB"/>
    <w:rsid w:val="00CC01EF"/>
    <w:rsid w:val="00CC030E"/>
    <w:rsid w:val="00CC3D46"/>
    <w:rsid w:val="00CD7269"/>
    <w:rsid w:val="00CD7415"/>
    <w:rsid w:val="00CE3356"/>
    <w:rsid w:val="00CE48DB"/>
    <w:rsid w:val="00CE50D2"/>
    <w:rsid w:val="00CE7929"/>
    <w:rsid w:val="00CF328F"/>
    <w:rsid w:val="00CF5008"/>
    <w:rsid w:val="00D04359"/>
    <w:rsid w:val="00D10AE5"/>
    <w:rsid w:val="00D21A65"/>
    <w:rsid w:val="00D250F6"/>
    <w:rsid w:val="00D32A27"/>
    <w:rsid w:val="00D331CF"/>
    <w:rsid w:val="00D4330A"/>
    <w:rsid w:val="00D5093D"/>
    <w:rsid w:val="00D54750"/>
    <w:rsid w:val="00D575ED"/>
    <w:rsid w:val="00D67E7F"/>
    <w:rsid w:val="00D722EF"/>
    <w:rsid w:val="00D72499"/>
    <w:rsid w:val="00D72FD8"/>
    <w:rsid w:val="00D75349"/>
    <w:rsid w:val="00D82672"/>
    <w:rsid w:val="00D90C16"/>
    <w:rsid w:val="00D94C60"/>
    <w:rsid w:val="00D96E82"/>
    <w:rsid w:val="00D97047"/>
    <w:rsid w:val="00DB1632"/>
    <w:rsid w:val="00DB1900"/>
    <w:rsid w:val="00DB20F1"/>
    <w:rsid w:val="00DB22A7"/>
    <w:rsid w:val="00DB65E5"/>
    <w:rsid w:val="00DC4789"/>
    <w:rsid w:val="00DC6049"/>
    <w:rsid w:val="00DC6DA6"/>
    <w:rsid w:val="00DD0261"/>
    <w:rsid w:val="00DD10FE"/>
    <w:rsid w:val="00DD2058"/>
    <w:rsid w:val="00DD4F66"/>
    <w:rsid w:val="00DE604F"/>
    <w:rsid w:val="00DE6ED8"/>
    <w:rsid w:val="00DE7A28"/>
    <w:rsid w:val="00DE7A2E"/>
    <w:rsid w:val="00DF12B6"/>
    <w:rsid w:val="00DF455B"/>
    <w:rsid w:val="00DF5346"/>
    <w:rsid w:val="00DF5803"/>
    <w:rsid w:val="00E10D76"/>
    <w:rsid w:val="00E11C25"/>
    <w:rsid w:val="00E126A4"/>
    <w:rsid w:val="00E12B1E"/>
    <w:rsid w:val="00E17298"/>
    <w:rsid w:val="00E220C3"/>
    <w:rsid w:val="00E26205"/>
    <w:rsid w:val="00E26904"/>
    <w:rsid w:val="00E3176B"/>
    <w:rsid w:val="00E37F4B"/>
    <w:rsid w:val="00E4125F"/>
    <w:rsid w:val="00E43E55"/>
    <w:rsid w:val="00E453FC"/>
    <w:rsid w:val="00E454D4"/>
    <w:rsid w:val="00E55CDC"/>
    <w:rsid w:val="00E55FAF"/>
    <w:rsid w:val="00E6063B"/>
    <w:rsid w:val="00E6167C"/>
    <w:rsid w:val="00E61A4F"/>
    <w:rsid w:val="00E64D6D"/>
    <w:rsid w:val="00E66718"/>
    <w:rsid w:val="00E678AC"/>
    <w:rsid w:val="00E701A7"/>
    <w:rsid w:val="00E70665"/>
    <w:rsid w:val="00E746B0"/>
    <w:rsid w:val="00E74929"/>
    <w:rsid w:val="00E76440"/>
    <w:rsid w:val="00E77E4E"/>
    <w:rsid w:val="00E83C43"/>
    <w:rsid w:val="00E864DF"/>
    <w:rsid w:val="00E86699"/>
    <w:rsid w:val="00E92279"/>
    <w:rsid w:val="00E93100"/>
    <w:rsid w:val="00E95348"/>
    <w:rsid w:val="00E9676F"/>
    <w:rsid w:val="00E976B6"/>
    <w:rsid w:val="00EA0444"/>
    <w:rsid w:val="00EA0633"/>
    <w:rsid w:val="00EA56F8"/>
    <w:rsid w:val="00EA605E"/>
    <w:rsid w:val="00EA7868"/>
    <w:rsid w:val="00EA7BE5"/>
    <w:rsid w:val="00EB14A2"/>
    <w:rsid w:val="00EB4062"/>
    <w:rsid w:val="00EC2026"/>
    <w:rsid w:val="00EC3453"/>
    <w:rsid w:val="00EC51F2"/>
    <w:rsid w:val="00EC692C"/>
    <w:rsid w:val="00ED33E9"/>
    <w:rsid w:val="00ED36B1"/>
    <w:rsid w:val="00ED3A38"/>
    <w:rsid w:val="00ED470E"/>
    <w:rsid w:val="00ED670C"/>
    <w:rsid w:val="00EF307C"/>
    <w:rsid w:val="00EF5E31"/>
    <w:rsid w:val="00F0172F"/>
    <w:rsid w:val="00F01E5E"/>
    <w:rsid w:val="00F11B9C"/>
    <w:rsid w:val="00F1454F"/>
    <w:rsid w:val="00F15625"/>
    <w:rsid w:val="00F17066"/>
    <w:rsid w:val="00F21977"/>
    <w:rsid w:val="00F24050"/>
    <w:rsid w:val="00F325E5"/>
    <w:rsid w:val="00F40841"/>
    <w:rsid w:val="00F410FF"/>
    <w:rsid w:val="00F423C3"/>
    <w:rsid w:val="00F45002"/>
    <w:rsid w:val="00F4662A"/>
    <w:rsid w:val="00F532D5"/>
    <w:rsid w:val="00F543B3"/>
    <w:rsid w:val="00F76E42"/>
    <w:rsid w:val="00F77C11"/>
    <w:rsid w:val="00F8285C"/>
    <w:rsid w:val="00F83D79"/>
    <w:rsid w:val="00F86579"/>
    <w:rsid w:val="00F87DB9"/>
    <w:rsid w:val="00F913C5"/>
    <w:rsid w:val="00F9566A"/>
    <w:rsid w:val="00FA2C4A"/>
    <w:rsid w:val="00FA4092"/>
    <w:rsid w:val="00FB4A4D"/>
    <w:rsid w:val="00FC3228"/>
    <w:rsid w:val="00FC3807"/>
    <w:rsid w:val="00FC4435"/>
    <w:rsid w:val="00FC6036"/>
    <w:rsid w:val="00FD2B62"/>
    <w:rsid w:val="00FD58B1"/>
    <w:rsid w:val="00FE123E"/>
    <w:rsid w:val="00FF004A"/>
    <w:rsid w:val="00FF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95"/>
  </w:style>
  <w:style w:type="paragraph" w:styleId="1">
    <w:name w:val="heading 1"/>
    <w:basedOn w:val="a"/>
    <w:link w:val="10"/>
    <w:uiPriority w:val="9"/>
    <w:qFormat/>
    <w:rsid w:val="00F21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D15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8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E7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7A2E"/>
  </w:style>
  <w:style w:type="paragraph" w:styleId="a7">
    <w:name w:val="footer"/>
    <w:basedOn w:val="a"/>
    <w:link w:val="a8"/>
    <w:uiPriority w:val="99"/>
    <w:unhideWhenUsed/>
    <w:rsid w:val="00DE7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A2E"/>
  </w:style>
  <w:style w:type="paragraph" w:styleId="a9">
    <w:name w:val="footnote text"/>
    <w:basedOn w:val="a"/>
    <w:link w:val="aa"/>
    <w:uiPriority w:val="99"/>
    <w:semiHidden/>
    <w:unhideWhenUsed/>
    <w:rsid w:val="002C710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C710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C710F"/>
    <w:rPr>
      <w:vertAlign w:val="superscript"/>
    </w:rPr>
  </w:style>
  <w:style w:type="character" w:styleId="ac">
    <w:name w:val="Hyperlink"/>
    <w:basedOn w:val="a0"/>
    <w:uiPriority w:val="99"/>
    <w:unhideWhenUsed/>
    <w:rsid w:val="00926CA0"/>
    <w:rPr>
      <w:color w:val="0000FF"/>
      <w:u w:val="single"/>
    </w:rPr>
  </w:style>
  <w:style w:type="character" w:customStyle="1" w:styleId="personname">
    <w:name w:val="person_name"/>
    <w:basedOn w:val="a0"/>
    <w:rsid w:val="00D97047"/>
  </w:style>
  <w:style w:type="character" w:customStyle="1" w:styleId="10">
    <w:name w:val="Заголовок 1 Знак"/>
    <w:basedOn w:val="a0"/>
    <w:link w:val="1"/>
    <w:uiPriority w:val="9"/>
    <w:rsid w:val="00F219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D1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F5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Carmen_Lopez-Andion" TargetMode="External"/><Relationship Id="rId13" Type="http://schemas.openxmlformats.org/officeDocument/2006/relationships/hyperlink" Target="https://www.researchgate.net/profile/Carmen_Lopez-Andio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pers.ssrn.com/sol3/cf_dev/AbsByAuth.cfm?per_id=15166" TargetMode="External"/><Relationship Id="rId17" Type="http://schemas.openxmlformats.org/officeDocument/2006/relationships/hyperlink" Target="https://papers.ssrn.com/sol3/cf_dev/AbsByAuth.cfm?per_id=151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scientific-contributions/2109957836_Aydin_Ozka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scientific-contributions/2109957836_Aydin_Ozk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rofile/Yener_Altunbas" TargetMode="External"/><Relationship Id="rId10" Type="http://schemas.openxmlformats.org/officeDocument/2006/relationships/hyperlink" Target="https://www.researchgate.net/profile/Yener_Altunba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scientific-contributions/2109975432_Alper_Kara" TargetMode="External"/><Relationship Id="rId14" Type="http://schemas.openxmlformats.org/officeDocument/2006/relationships/hyperlink" Target="https://www.researchgate.net/scientific-contributions/2109975432_Alper_Ka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E2F4-BFA5-4BDC-BE92-D76A3DD3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shasyanova</cp:lastModifiedBy>
  <cp:revision>2</cp:revision>
  <dcterms:created xsi:type="dcterms:W3CDTF">2019-04-17T16:41:00Z</dcterms:created>
  <dcterms:modified xsi:type="dcterms:W3CDTF">2019-04-17T16:41:00Z</dcterms:modified>
</cp:coreProperties>
</file>