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6C2EA" w14:textId="76F621F1" w:rsidR="0052305C" w:rsidRDefault="00770EC2" w:rsidP="00770EC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Тарасенко Александр Сергеевич</w:t>
      </w:r>
    </w:p>
    <w:p w14:paraId="1539CB3E" w14:textId="4F11F7C5" w:rsidR="00770EC2" w:rsidRDefault="00770EC2" w:rsidP="00770EC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Метаанализ трендов в исследованиях</w:t>
      </w:r>
      <w:r w:rsidR="006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развития фирмы</w:t>
      </w:r>
    </w:p>
    <w:p w14:paraId="62DA1C60" w14:textId="77777777" w:rsidR="007215CA" w:rsidRDefault="007215CA" w:rsidP="00770EC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ECE74" w14:textId="647F8C14" w:rsidR="00770EC2" w:rsidRDefault="007215CA" w:rsidP="00770E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компании чаще всего принято рассматривать в рамках финансового-экономических показателей. В то же время все большее число исследователей указывают на необходимость учета нефинансовых индикаторов. Примерами таких факторов являются в первую очередь те, которые ориентируются на сотрудников фирмы и влияние конкретного предприятия на окружающую среду. Направленность компании на реализацию мероприятий, связанных с финансовой, социальной и экологической сторонами деятельности, происходит в рамках концепции устойчивого развития.</w:t>
      </w:r>
    </w:p>
    <w:p w14:paraId="0C2DC91D" w14:textId="478199DE" w:rsidR="007215CA" w:rsidRDefault="007215CA" w:rsidP="00770E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концепция устойчивого компании состоит из трех основных групп факторов: финансово-экономических, социально-экономических и экологических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парадигмы устойчивого развития в корпоративную культуру началось ближе к началу XXI века. Например, в работе (</w:t>
      </w:r>
      <w:proofErr w:type="spellStart"/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>Elkington</w:t>
      </w:r>
      <w:proofErr w:type="spellEnd"/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1994) указывается, что уже в начале 90-х годов XX столетия крупнейшие компании с развитых на тот момент рынков осознавали необходимость учета экологических факторов – одних из составляющих устойчивого развития – для увеличения лояльности потребителей и получения конкурентного преимущества [2].  </w:t>
      </w:r>
    </w:p>
    <w:p w14:paraId="51F8AA58" w14:textId="19277CE7" w:rsidR="007215CA" w:rsidRDefault="007215CA" w:rsidP="00770E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возникает вопрос – действительно ли сегодня возрастает интерес к работам, посвященным устойчивому развитию фирмы? </w:t>
      </w:r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трендов в мировой экономической науке может быть реализовано с помощью количественного анализа результатов научных исследований в наиболее значимых журналах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В рамках данной работы был проведен метаанализ научных работ, посвященных темам концепции устойчивого развития. С помощью базы данных научного цитирования </w:t>
      </w:r>
      <w:proofErr w:type="spellStart"/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19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CB1F19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опубликованных в журналах первого квартиля </w:t>
      </w:r>
      <w:r w:rsidRPr="00721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(Q1) за период с 2008 по 2019 год. Статьи отбирались с помощью запросов по ключевым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14:paraId="4788F378" w14:textId="20A2D6EC" w:rsidR="00CB1F19" w:rsidRDefault="00CB1F19" w:rsidP="00CB1F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C1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522AC9A" wp14:editId="221BEB76">
            <wp:simplePos x="0" y="0"/>
            <wp:positionH relativeFrom="margin">
              <wp:align>right</wp:align>
            </wp:positionH>
            <wp:positionV relativeFrom="paragraph">
              <wp:posOffset>2122401</wp:posOffset>
            </wp:positionV>
            <wp:extent cx="5940425" cy="2713355"/>
            <wp:effectExtent l="0" t="0" r="3175" b="0"/>
            <wp:wrapTight wrapText="bothSides">
              <wp:wrapPolygon edited="0">
                <wp:start x="0" y="0"/>
                <wp:lineTo x="0" y="21383"/>
                <wp:lineTo x="21542" y="21383"/>
                <wp:lineTo x="21542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интереса к тематики устойчивого развития </w:t>
      </w:r>
      <w:r w:rsidRPr="00C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подтвердить с помощью анализа научных публикаций в наиболее известных экономических журналах за последние 10 лет. На рисунке 1 продемонстрировано количество цитирований работ, посвященных устойчивому развитию, опубликованных в финансовых журналах 1 квартиля по состоянию на 2017 г. Данный показатель нормирован на процентное изменение числа цитирований общего количества работ в зависимости от года публикации исследования.</w:t>
      </w:r>
    </w:p>
    <w:p w14:paraId="4294CE2D" w14:textId="56354CDC" w:rsidR="00CB1F19" w:rsidRPr="00CB1F19" w:rsidRDefault="00CB1F19" w:rsidP="00CB1F1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Рисунок 1. Нормированное количество цитирований работ об устойчивом развитии в финансовых журналах 1 квартиля</w:t>
      </w:r>
    </w:p>
    <w:p w14:paraId="1AEF68EF" w14:textId="55D27C5F" w:rsidR="00CB1F19" w:rsidRDefault="00CB1F19" w:rsidP="00CB1F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показывает, что популярность работ, посвященных концепции устойчивого развития, становится все больше. Особенно эта тенденция заметна в 2017 и 2018 гг. Однако в более ранние периоды указанная тематика была не столь актуальна и число ссылок на работы об устойчивом развитии было умеренно стабильным год от году. Отчасти это связано с тем, что данная концепция стала анализироваться в отношении деятельности предприятия не так давно.</w:t>
      </w:r>
    </w:p>
    <w:p w14:paraId="06FA35C3" w14:textId="47ED26DF" w:rsidR="00CB1F19" w:rsidRDefault="00CB1F19" w:rsidP="00CB1F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91938" w14:textId="77777777" w:rsidR="00CB1F19" w:rsidRDefault="00CB1F19" w:rsidP="00CB1F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8D322" w14:textId="77777777" w:rsidR="007215CA" w:rsidRDefault="007215CA" w:rsidP="00770E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8E05" w14:textId="7CDDAF37" w:rsidR="00770EC2" w:rsidRDefault="007215CA" w:rsidP="00770E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итературы</w:t>
      </w:r>
    </w:p>
    <w:p w14:paraId="3CB9F268" w14:textId="77777777" w:rsidR="007215CA" w:rsidRPr="007215CA" w:rsidRDefault="007215CA" w:rsidP="007215C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5CA">
        <w:rPr>
          <w:rFonts w:ascii="Times New Roman" w:hAnsi="Times New Roman" w:cs="Times New Roman"/>
          <w:sz w:val="28"/>
          <w:szCs w:val="28"/>
        </w:rPr>
        <w:t>Шимоханская</w:t>
      </w:r>
      <w:proofErr w:type="spellEnd"/>
      <w:r w:rsidRPr="007215CA">
        <w:rPr>
          <w:rFonts w:ascii="Times New Roman" w:hAnsi="Times New Roman" w:cs="Times New Roman"/>
          <w:sz w:val="28"/>
          <w:szCs w:val="28"/>
        </w:rPr>
        <w:t xml:space="preserve">, Т.В. Управленческий инструментарий устойчивого развития предприятия [Электронный ресурс] / Т.В. </w:t>
      </w:r>
      <w:proofErr w:type="spellStart"/>
      <w:r w:rsidRPr="007215CA">
        <w:rPr>
          <w:rFonts w:ascii="Times New Roman" w:hAnsi="Times New Roman" w:cs="Times New Roman"/>
          <w:sz w:val="28"/>
          <w:szCs w:val="28"/>
        </w:rPr>
        <w:t>Шимоханская</w:t>
      </w:r>
      <w:proofErr w:type="spellEnd"/>
      <w:r w:rsidRPr="007215CA">
        <w:rPr>
          <w:rFonts w:ascii="Times New Roman" w:hAnsi="Times New Roman" w:cs="Times New Roman"/>
          <w:sz w:val="28"/>
          <w:szCs w:val="28"/>
        </w:rPr>
        <w:t xml:space="preserve"> // Вопросы экономики и права. – 2011. - №33. – С. 281-288. - Режим доступа: https://elibrary.ru/item.asp?id=17765438. - </w:t>
      </w:r>
      <w:proofErr w:type="spellStart"/>
      <w:r w:rsidRPr="007215CA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215CA">
        <w:rPr>
          <w:rFonts w:ascii="Times New Roman" w:hAnsi="Times New Roman" w:cs="Times New Roman"/>
          <w:sz w:val="28"/>
          <w:szCs w:val="28"/>
        </w:rPr>
        <w:t>. с экрана. (Дата обращения 24.02.2019);</w:t>
      </w:r>
    </w:p>
    <w:p w14:paraId="15230BD9" w14:textId="77777777" w:rsidR="007215CA" w:rsidRPr="007215CA" w:rsidRDefault="007215CA" w:rsidP="007215C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15CA">
        <w:rPr>
          <w:rFonts w:ascii="Times New Roman" w:hAnsi="Times New Roman" w:cs="Times New Roman"/>
          <w:sz w:val="28"/>
          <w:szCs w:val="28"/>
          <w:lang w:val="en-US"/>
        </w:rPr>
        <w:t>Elkington, J. Towards the Sustainable Corporation: Win-Win-Win Business Strategies for Sustainable Development / J. Elkington // California Management Review. – 1994. - №36(2). – Pp. 90-100.;</w:t>
      </w:r>
    </w:p>
    <w:p w14:paraId="57388BDD" w14:textId="77777777" w:rsidR="007215CA" w:rsidRPr="007215CA" w:rsidRDefault="007215CA" w:rsidP="007215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215CA">
        <w:rPr>
          <w:rFonts w:ascii="Times New Roman" w:hAnsi="Times New Roman" w:cs="Times New Roman"/>
          <w:sz w:val="28"/>
          <w:szCs w:val="28"/>
          <w:lang w:val="en-US"/>
        </w:rPr>
        <w:t>Keloharju</w:t>
      </w:r>
      <w:proofErr w:type="spellEnd"/>
      <w:r w:rsidRPr="007215CA">
        <w:rPr>
          <w:rFonts w:ascii="Times New Roman" w:hAnsi="Times New Roman" w:cs="Times New Roman"/>
          <w:sz w:val="28"/>
          <w:szCs w:val="28"/>
          <w:lang w:val="en-US"/>
        </w:rPr>
        <w:t xml:space="preserve">, M. What’s New in Finance? / M. </w:t>
      </w:r>
      <w:proofErr w:type="spellStart"/>
      <w:r w:rsidRPr="007215CA">
        <w:rPr>
          <w:rFonts w:ascii="Times New Roman" w:hAnsi="Times New Roman" w:cs="Times New Roman"/>
          <w:sz w:val="28"/>
          <w:szCs w:val="28"/>
          <w:lang w:val="en-US"/>
        </w:rPr>
        <w:t>Keloharju</w:t>
      </w:r>
      <w:proofErr w:type="spellEnd"/>
      <w:r w:rsidRPr="007215CA">
        <w:rPr>
          <w:rFonts w:ascii="Times New Roman" w:hAnsi="Times New Roman" w:cs="Times New Roman"/>
          <w:sz w:val="28"/>
          <w:szCs w:val="28"/>
          <w:lang w:val="en-US"/>
        </w:rPr>
        <w:t xml:space="preserve"> // European Financial Management. - 2008. – Vol. 14, № 3. - Pp. 564-608;</w:t>
      </w:r>
    </w:p>
    <w:p w14:paraId="2F5A8F67" w14:textId="77777777" w:rsidR="007215CA" w:rsidRPr="007215CA" w:rsidRDefault="007215CA" w:rsidP="007215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15CA">
        <w:rPr>
          <w:rFonts w:ascii="Times New Roman" w:hAnsi="Times New Roman" w:cs="Times New Roman"/>
          <w:sz w:val="28"/>
          <w:szCs w:val="28"/>
          <w:lang w:val="en-US"/>
        </w:rPr>
        <w:t>Kim, E., Morse, A., Zingales, L. What Has Mattered to Economics since 1970 / E.H. Kim, A. Morse, L. Zingales // Journal of Economics Perspectives. - 2006. - № 20(4). - Pp. 189-202;</w:t>
      </w:r>
    </w:p>
    <w:p w14:paraId="5F97D707" w14:textId="076444E1" w:rsidR="007215CA" w:rsidRPr="00CB1F19" w:rsidRDefault="007215CA" w:rsidP="00CB1F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15CA">
        <w:rPr>
          <w:rFonts w:ascii="Times New Roman" w:hAnsi="Times New Roman" w:cs="Times New Roman"/>
          <w:sz w:val="28"/>
          <w:szCs w:val="28"/>
          <w:lang w:val="en-US"/>
        </w:rPr>
        <w:t xml:space="preserve">Arnold, T., Butler, A., Crack, T., </w:t>
      </w:r>
      <w:proofErr w:type="spellStart"/>
      <w:r w:rsidRPr="007215CA">
        <w:rPr>
          <w:rFonts w:ascii="Times New Roman" w:hAnsi="Times New Roman" w:cs="Times New Roman"/>
          <w:sz w:val="28"/>
          <w:szCs w:val="28"/>
          <w:lang w:val="en-US"/>
        </w:rPr>
        <w:t>Altintig</w:t>
      </w:r>
      <w:proofErr w:type="spellEnd"/>
      <w:r w:rsidRPr="007215CA">
        <w:rPr>
          <w:rFonts w:ascii="Times New Roman" w:hAnsi="Times New Roman" w:cs="Times New Roman"/>
          <w:sz w:val="28"/>
          <w:szCs w:val="28"/>
          <w:lang w:val="en-US"/>
        </w:rPr>
        <w:t xml:space="preserve"> A. Impact: What Influences Finance Research? / T. Arnold, A.W. Butler, T.F. Crack, A. </w:t>
      </w:r>
      <w:proofErr w:type="spellStart"/>
      <w:r w:rsidRPr="007215CA">
        <w:rPr>
          <w:rFonts w:ascii="Times New Roman" w:hAnsi="Times New Roman" w:cs="Times New Roman"/>
          <w:sz w:val="28"/>
          <w:szCs w:val="28"/>
          <w:lang w:val="en-US"/>
        </w:rPr>
        <w:t>Altintig</w:t>
      </w:r>
      <w:proofErr w:type="spellEnd"/>
      <w:r w:rsidRPr="007215CA">
        <w:rPr>
          <w:rFonts w:ascii="Times New Roman" w:hAnsi="Times New Roman" w:cs="Times New Roman"/>
          <w:sz w:val="28"/>
          <w:szCs w:val="28"/>
          <w:lang w:val="en-US"/>
        </w:rPr>
        <w:t xml:space="preserve"> // The Journal of Business. - 2003. - № 76(2). - Pp. 343-361.</w:t>
      </w:r>
    </w:p>
    <w:sectPr w:rsidR="007215CA" w:rsidRPr="00CB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4FF"/>
    <w:multiLevelType w:val="hybridMultilevel"/>
    <w:tmpl w:val="0636C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C5"/>
    <w:rsid w:val="0052305C"/>
    <w:rsid w:val="006817C6"/>
    <w:rsid w:val="007215CA"/>
    <w:rsid w:val="00770EC2"/>
    <w:rsid w:val="00CB1F19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95C1"/>
  <w15:chartTrackingRefBased/>
  <w15:docId w15:val="{0B6B012A-DB6D-46BB-AA43-37D5E4D9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399204843723356E-2"/>
          <c:y val="2.982388843682034E-2"/>
          <c:w val="0.84906349293190286"/>
          <c:h val="0.80822626314793844"/>
        </c:manualLayout>
      </c:layout>
      <c:lineChart>
        <c:grouping val="standard"/>
        <c:varyColors val="0"/>
        <c:ser>
          <c:idx val="2"/>
          <c:order val="0"/>
          <c:tx>
            <c:v>Устойчивое развитие</c:v>
          </c:tx>
          <c:spPr>
            <a:ln w="28575">
              <a:solidFill>
                <a:srgbClr val="00B0F0"/>
              </a:solidFill>
            </a:ln>
          </c:spPr>
          <c:marker>
            <c:symbol val="circle"/>
            <c:size val="5"/>
            <c:spPr>
              <a:ln>
                <a:solidFill>
                  <a:srgbClr val="00B0F0"/>
                </a:solidFill>
              </a:ln>
            </c:spPr>
          </c:marker>
          <c:cat>
            <c:numRef>
              <c:f>'Итоговый вариант'!$A$65:$A$74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'Итоговый вариант'!$G$65:$G$74</c:f>
              <c:numCache>
                <c:formatCode>0</c:formatCode>
                <c:ptCount val="10"/>
                <c:pt idx="0">
                  <c:v>14.568227645155261</c:v>
                </c:pt>
                <c:pt idx="1">
                  <c:v>12.159040148100647</c:v>
                </c:pt>
                <c:pt idx="2">
                  <c:v>35.079097720946315</c:v>
                </c:pt>
                <c:pt idx="3">
                  <c:v>47.977544785756422</c:v>
                </c:pt>
                <c:pt idx="4">
                  <c:v>19.325160072047083</c:v>
                </c:pt>
                <c:pt idx="5">
                  <c:v>20.815378890531957</c:v>
                </c:pt>
                <c:pt idx="6">
                  <c:v>51.460082997559979</c:v>
                </c:pt>
                <c:pt idx="7">
                  <c:v>54.999298202461262</c:v>
                </c:pt>
                <c:pt idx="8">
                  <c:v>90.422985560215096</c:v>
                </c:pt>
                <c:pt idx="9">
                  <c:v>164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FF-42D4-A8F8-D69F0E7703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243968"/>
        <c:axId val="146245888"/>
      </c:lineChart>
      <c:catAx>
        <c:axId val="146243968"/>
        <c:scaling>
          <c:orientation val="minMax"/>
        </c:scaling>
        <c:delete val="0"/>
        <c:axPos val="b"/>
        <c:majorGridlines>
          <c:spPr>
            <a:ln>
              <a:solidFill>
                <a:schemeClr val="bg2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bg2"/>
            </a:solidFill>
          </a:ln>
        </c:spPr>
        <c:crossAx val="146245888"/>
        <c:crosses val="autoZero"/>
        <c:auto val="1"/>
        <c:lblAlgn val="ctr"/>
        <c:lblOffset val="100"/>
        <c:noMultiLvlLbl val="0"/>
      </c:catAx>
      <c:valAx>
        <c:axId val="146245888"/>
        <c:scaling>
          <c:orientation val="minMax"/>
        </c:scaling>
        <c:delete val="0"/>
        <c:axPos val="l"/>
        <c:majorGridlines>
          <c:spPr>
            <a:ln>
              <a:solidFill>
                <a:schemeClr val="bg2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цитирований, шт</a:t>
                </a:r>
              </a:p>
            </c:rich>
          </c:tx>
          <c:layout>
            <c:manualLayout>
              <c:xMode val="edge"/>
              <c:yMode val="edge"/>
              <c:x val="1.115999685448759E-2"/>
              <c:y val="0.1823588670327922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spPr>
          <a:ln>
            <a:solidFill>
              <a:schemeClr val="bg2"/>
            </a:solidFill>
          </a:ln>
        </c:spPr>
        <c:crossAx val="146243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White">
    <a:dk1>
      <a:srgbClr val="000000"/>
    </a:dk1>
    <a:lt1>
      <a:srgbClr val="FFFFFF"/>
    </a:lt1>
    <a:dk2>
      <a:srgbClr val="53585F"/>
    </a:dk2>
    <a:lt2>
      <a:srgbClr val="DCDEE0"/>
    </a:lt2>
    <a:accent1>
      <a:srgbClr val="0365C0"/>
    </a:accent1>
    <a:accent2>
      <a:srgbClr val="00882B"/>
    </a:accent2>
    <a:accent3>
      <a:srgbClr val="DCBD23"/>
    </a:accent3>
    <a:accent4>
      <a:srgbClr val="DE6A10"/>
    </a:accent4>
    <a:accent5>
      <a:srgbClr val="C82506"/>
    </a:accent5>
    <a:accent6>
      <a:srgbClr val="773F9B"/>
    </a:accent6>
    <a:hlink>
      <a:srgbClr val="0000FF"/>
    </a:hlink>
    <a:folHlink>
      <a:srgbClr val="FF00FF"/>
    </a:folHlink>
  </a:clrScheme>
  <a:fontScheme name="White">
    <a:majorFont>
      <a:latin typeface="Helvetica Light"/>
      <a:ea typeface="Helvetica Light"/>
      <a:cs typeface="Helvetica Light"/>
    </a:majorFont>
    <a:minorFont>
      <a:latin typeface="Arial Narrow"/>
      <a:ea typeface="Arial Narrow"/>
      <a:cs typeface="Arial Narrow"/>
    </a:minorFont>
  </a:fontScheme>
  <a:fmtScheme name="White">
    <a:fillStyleLst>
      <a:solidFill>
        <a:srgbClr val="FFFFFF"/>
      </a:solidFill>
      <a:solidFill>
        <a:srgbClr val="FFFFFF"/>
      </a:solidFill>
      <a:solidFill>
        <a:srgbClr val="FFFFFF"/>
      </a:solidFill>
    </a:fillStyleLst>
    <a:lnStyleLst>
      <a:ln>
        <a:solidFill>
          <a:srgbClr val="000000"/>
        </a:solidFill>
      </a:ln>
      <a:ln>
        <a:solidFill>
          <a:srgbClr val="000000"/>
        </a:solidFill>
      </a:ln>
      <a:ln>
        <a:solidFill>
          <a:srgbClr val="000000"/>
        </a:solidFill>
      </a:ln>
    </a:lnStyleLst>
    <a:effectStyleLst>
      <a:effectStyle>
        <a:effectLst>
          <a:outerShdw blurRad="50800" dist="25400" dir="5400000" rotWithShape="0">
            <a:srgbClr val="000000">
              <a:alpha val="50000"/>
            </a:srgbClr>
          </a:outerShdw>
        </a:effectLst>
      </a:effectStyle>
      <a:effectStyle>
        <a:effectLst>
          <a:outerShdw blurRad="63500" dist="12700" rotWithShape="0">
            <a:srgbClr val="000000">
              <a:alpha val="50000"/>
            </a:srgbClr>
          </a:outerShdw>
        </a:effectLst>
      </a:effectStyle>
      <a:effectStyle>
        <a:effectLst>
          <a:outerShdw blurRad="50800" dist="25400" dir="5400000" rotWithShape="0">
            <a:srgbClr val="000000">
              <a:alpha val="50000"/>
            </a:srgbClr>
          </a:outerShdw>
        </a:effectLst>
      </a:effectStyle>
    </a:effectStyleLst>
    <a:bgFillStyleLst>
      <a:solidFill>
        <a:srgbClr val="FFFFFF"/>
      </a:solidFill>
      <a:solidFill>
        <a:srgbClr val="FFFFFF"/>
      </a:solidFill>
      <a:solidFill>
        <a:srgbClr val="FFFFFF"/>
      </a:soli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Тарасенко</dc:creator>
  <cp:keywords/>
  <dc:description/>
  <cp:lastModifiedBy>Александр Тарасенко</cp:lastModifiedBy>
  <cp:revision>4</cp:revision>
  <dcterms:created xsi:type="dcterms:W3CDTF">2019-06-15T08:49:00Z</dcterms:created>
  <dcterms:modified xsi:type="dcterms:W3CDTF">2019-06-15T09:12:00Z</dcterms:modified>
</cp:coreProperties>
</file>