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D32" w:rsidRPr="00E93D32" w:rsidRDefault="00E93D32" w:rsidP="00E93D3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ТЕМЫ ПРОШЛЫХ ЛЕТ (БМ):</w:t>
      </w:r>
    </w:p>
    <w:p w:rsidR="00E93D32" w:rsidRDefault="00E93D32" w:rsidP="00E93D3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A1F7E" w:rsidRPr="00E93D32" w:rsidRDefault="00AA1F7E" w:rsidP="00E93D3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93D32">
        <w:rPr>
          <w:rFonts w:ascii="Times New Roman" w:hAnsi="Times New Roman" w:cs="Times New Roman"/>
          <w:b/>
          <w:sz w:val="24"/>
          <w:szCs w:val="24"/>
        </w:rPr>
        <w:t>ВКР</w:t>
      </w:r>
    </w:p>
    <w:p w:rsidR="00AA1F7E" w:rsidRPr="00E93D32" w:rsidRDefault="00E93D32" w:rsidP="00E93D3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AA1F7E" w:rsidRPr="00E93D32">
        <w:rPr>
          <w:rFonts w:ascii="Times New Roman" w:hAnsi="Times New Roman" w:cs="Times New Roman"/>
          <w:sz w:val="24"/>
          <w:szCs w:val="24"/>
        </w:rPr>
        <w:t>Стресс-тестирование кредитного портфеля коммерческого банка</w:t>
      </w:r>
    </w:p>
    <w:p w:rsidR="00AA1F7E" w:rsidRPr="00E93D32" w:rsidRDefault="00E93D32" w:rsidP="00E93D3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AA1F7E" w:rsidRPr="00E93D32">
        <w:rPr>
          <w:rFonts w:ascii="Times New Roman" w:hAnsi="Times New Roman" w:cs="Times New Roman"/>
          <w:sz w:val="24"/>
          <w:szCs w:val="24"/>
        </w:rPr>
        <w:t>Эффективное управление ликвидностью коммерческого банка в условиях экономической неопределенности</w:t>
      </w:r>
    </w:p>
    <w:p w:rsidR="00AA1F7E" w:rsidRPr="00E93D32" w:rsidRDefault="00E93D32" w:rsidP="00E93D3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AA1F7E" w:rsidRPr="00E93D32">
        <w:rPr>
          <w:rFonts w:ascii="Times New Roman" w:hAnsi="Times New Roman" w:cs="Times New Roman"/>
          <w:sz w:val="24"/>
          <w:szCs w:val="24"/>
        </w:rPr>
        <w:t>Оценка корпоративной социальной ответственности коммерческих банков</w:t>
      </w:r>
    </w:p>
    <w:p w:rsidR="00AA1F7E" w:rsidRPr="00E93D32" w:rsidRDefault="00E93D32" w:rsidP="00E93D3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AA1F7E" w:rsidRPr="00E93D32">
        <w:rPr>
          <w:rFonts w:ascii="Times New Roman" w:hAnsi="Times New Roman" w:cs="Times New Roman"/>
          <w:sz w:val="24"/>
          <w:szCs w:val="24"/>
        </w:rPr>
        <w:t>Разработка модели оценки финансовой устойчивости страховой компании</w:t>
      </w:r>
    </w:p>
    <w:p w:rsidR="00AA1F7E" w:rsidRPr="00E93D32" w:rsidRDefault="00E93D32" w:rsidP="00E93D3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AA1F7E" w:rsidRPr="00E93D32">
        <w:rPr>
          <w:rFonts w:ascii="Times New Roman" w:hAnsi="Times New Roman" w:cs="Times New Roman"/>
          <w:sz w:val="24"/>
          <w:szCs w:val="24"/>
        </w:rPr>
        <w:t>Рейтинговая оценка финансовой устойчивости банков</w:t>
      </w:r>
    </w:p>
    <w:p w:rsidR="00AA1F7E" w:rsidRPr="00E93D32" w:rsidRDefault="00E93D32" w:rsidP="00E93D3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AA1F7E" w:rsidRPr="00E93D32">
        <w:rPr>
          <w:rFonts w:ascii="Times New Roman" w:hAnsi="Times New Roman" w:cs="Times New Roman"/>
          <w:sz w:val="24"/>
          <w:szCs w:val="24"/>
        </w:rPr>
        <w:t>Развитие ипотечного кредитования: зарубежный и российский опыт</w:t>
      </w:r>
    </w:p>
    <w:p w:rsidR="00AA1F7E" w:rsidRPr="00E93D32" w:rsidRDefault="00E93D32" w:rsidP="00E93D3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="00AA1F7E" w:rsidRPr="00E93D32">
        <w:rPr>
          <w:rFonts w:ascii="Times New Roman" w:hAnsi="Times New Roman" w:cs="Times New Roman"/>
          <w:sz w:val="24"/>
          <w:szCs w:val="24"/>
        </w:rPr>
        <w:t>Совершенствование механизма ценообразования банковских продуктов  и услуг</w:t>
      </w:r>
    </w:p>
    <w:p w:rsidR="00AA1F7E" w:rsidRPr="00E93D32" w:rsidRDefault="00E93D32" w:rsidP="00E93D3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 w:rsidR="00AA1F7E" w:rsidRPr="00E93D32">
        <w:rPr>
          <w:rFonts w:ascii="Times New Roman" w:hAnsi="Times New Roman" w:cs="Times New Roman"/>
          <w:sz w:val="24"/>
          <w:szCs w:val="24"/>
        </w:rPr>
        <w:t>Структурированные продукты как инструмент управления финансовыми активами частных лиц</w:t>
      </w:r>
    </w:p>
    <w:p w:rsidR="00AA1F7E" w:rsidRPr="00E93D32" w:rsidRDefault="00E93D32" w:rsidP="00E93D3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</w:t>
      </w:r>
      <w:r w:rsidR="00AA1F7E" w:rsidRPr="00E93D32">
        <w:rPr>
          <w:rFonts w:ascii="Times New Roman" w:hAnsi="Times New Roman" w:cs="Times New Roman"/>
          <w:sz w:val="24"/>
          <w:szCs w:val="24"/>
        </w:rPr>
        <w:t>Оценка финансового канала воздействия санкций на российский банковский сектор</w:t>
      </w:r>
    </w:p>
    <w:p w:rsidR="00AA1F7E" w:rsidRPr="00E93D32" w:rsidRDefault="00E93D32" w:rsidP="00E93D3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</w:t>
      </w:r>
      <w:r w:rsidR="00AA1F7E" w:rsidRPr="00E93D32">
        <w:rPr>
          <w:rFonts w:ascii="Times New Roman" w:hAnsi="Times New Roman" w:cs="Times New Roman"/>
          <w:sz w:val="24"/>
          <w:szCs w:val="24"/>
        </w:rPr>
        <w:t>Модель оценки финансовой устойчивости коммерческого банка</w:t>
      </w:r>
    </w:p>
    <w:p w:rsidR="00AA1F7E" w:rsidRPr="00E93D32" w:rsidRDefault="00E93D32" w:rsidP="00E93D3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11) </w:t>
      </w:r>
      <w:r w:rsidR="00AA1F7E" w:rsidRPr="00E93D32">
        <w:rPr>
          <w:rFonts w:ascii="Times New Roman" w:hAnsi="Times New Roman" w:cs="Times New Roman"/>
          <w:sz w:val="24"/>
          <w:szCs w:val="24"/>
        </w:rPr>
        <w:t>Анализ факторов</w:t>
      </w:r>
      <w:r w:rsidR="006A7237" w:rsidRPr="00E93D32">
        <w:rPr>
          <w:rFonts w:ascii="Times New Roman" w:hAnsi="Times New Roman" w:cs="Times New Roman"/>
          <w:sz w:val="24"/>
          <w:szCs w:val="24"/>
        </w:rPr>
        <w:t>,</w:t>
      </w:r>
      <w:r w:rsidR="00AA1F7E" w:rsidRPr="00E93D32">
        <w:rPr>
          <w:rFonts w:ascii="Times New Roman" w:hAnsi="Times New Roman" w:cs="Times New Roman"/>
          <w:sz w:val="24"/>
          <w:szCs w:val="24"/>
        </w:rPr>
        <w:t xml:space="preserve"> влияющих на эффективность размещения ценных бумаг коммерческими банками</w:t>
      </w:r>
    </w:p>
    <w:p w:rsidR="00AA1F7E" w:rsidRPr="00E93D32" w:rsidRDefault="00E93D32" w:rsidP="00E93D3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12) </w:t>
      </w:r>
      <w:r w:rsidR="00AA1F7E" w:rsidRPr="00E93D32">
        <w:rPr>
          <w:rFonts w:ascii="Times New Roman" w:hAnsi="Times New Roman" w:cs="Times New Roman"/>
          <w:sz w:val="24"/>
          <w:szCs w:val="24"/>
        </w:rPr>
        <w:t>Проблемы оценки стоимости коммерческих банков</w:t>
      </w:r>
    </w:p>
    <w:p w:rsidR="008B739D" w:rsidRPr="00E93D32" w:rsidRDefault="00E93D32" w:rsidP="00E93D32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13) </w:t>
      </w:r>
      <w:r w:rsidR="008B739D" w:rsidRPr="00E93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Электронные деньги и управление рисками их функционирования</w:t>
      </w:r>
    </w:p>
    <w:p w:rsidR="008B739D" w:rsidRPr="00E93D32" w:rsidRDefault="00E93D32" w:rsidP="00E93D32">
      <w:pPr>
        <w:spacing w:line="240" w:lineRule="auto"/>
        <w:contextualSpacing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14) </w:t>
      </w:r>
      <w:r w:rsidR="008B739D" w:rsidRPr="00E93D3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Анализ факторов, влияющих на котировки ценных бумаг коммерческих банков</w:t>
      </w:r>
    </w:p>
    <w:p w:rsidR="008B739D" w:rsidRPr="00E93D32" w:rsidRDefault="00E93D32" w:rsidP="00E93D32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15) </w:t>
      </w:r>
      <w:r w:rsidR="008B739D" w:rsidRPr="00E93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Инструменты рефинансирования Банка России и их роль в регулировании ликвидности банковского сектора</w:t>
      </w:r>
    </w:p>
    <w:p w:rsidR="008B739D" w:rsidRPr="00E93D32" w:rsidRDefault="00E93D32" w:rsidP="00E93D32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16) </w:t>
      </w:r>
      <w:r w:rsidR="008B739D" w:rsidRPr="00E93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онлайн</w:t>
      </w:r>
      <w:r w:rsidR="00850D5F" w:rsidRPr="00E93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8B739D" w:rsidRPr="00E93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банкинга на примере российских банков</w:t>
      </w:r>
    </w:p>
    <w:p w:rsidR="008B739D" w:rsidRPr="00E93D32" w:rsidRDefault="00E93D32" w:rsidP="00E93D32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17) </w:t>
      </w:r>
      <w:r w:rsidR="008B739D" w:rsidRPr="00E93D3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</w:t>
      </w:r>
      <w:r w:rsidR="00850D5F" w:rsidRPr="00E93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совая несостоятельность банка: </w:t>
      </w:r>
      <w:r w:rsidR="008B739D" w:rsidRPr="00E93D32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сущность и методы предотвращения</w:t>
      </w:r>
    </w:p>
    <w:p w:rsidR="008B739D" w:rsidRPr="00E93D32" w:rsidRDefault="00E93D32" w:rsidP="00E93D32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18) </w:t>
      </w:r>
      <w:r w:rsidR="008B739D" w:rsidRPr="00E93D3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стоимости банка: теоретические и методологические подходы</w:t>
      </w:r>
    </w:p>
    <w:p w:rsidR="008B739D" w:rsidRPr="00E93D32" w:rsidRDefault="00E93D32" w:rsidP="00E93D32">
      <w:pPr>
        <w:spacing w:line="240" w:lineRule="auto"/>
        <w:contextualSpacing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19) </w:t>
      </w:r>
      <w:r w:rsidR="008B739D" w:rsidRPr="00E93D3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Проблемы и перспективы эффективного взаимодействия между банками и страховыми компаниями</w:t>
      </w:r>
    </w:p>
    <w:p w:rsidR="008B739D" w:rsidRPr="00E93D32" w:rsidRDefault="00E93D32" w:rsidP="00E93D32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20) </w:t>
      </w:r>
      <w:r w:rsidR="008B739D" w:rsidRPr="00E93D3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кредитным риском корпоративных заемщиков: модели оценки и способы регулирования</w:t>
      </w:r>
    </w:p>
    <w:p w:rsidR="008B739D" w:rsidRPr="00E93D32" w:rsidRDefault="00E93D32" w:rsidP="00E93D32">
      <w:pPr>
        <w:spacing w:line="240" w:lineRule="auto"/>
        <w:contextualSpacing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21) </w:t>
      </w:r>
      <w:r w:rsidR="008B739D" w:rsidRPr="00E93D3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Управление риском ликвидности в кризисных условиях</w:t>
      </w:r>
    </w:p>
    <w:p w:rsidR="008B739D" w:rsidRPr="00E93D32" w:rsidRDefault="00E93D32" w:rsidP="00E93D32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22) </w:t>
      </w:r>
      <w:r w:rsidR="00850D5F" w:rsidRPr="00E93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Проблемы</w:t>
      </w:r>
      <w:r w:rsidR="008B739D" w:rsidRPr="00E93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перспективы развития системы кредитования МСБ в России</w:t>
      </w:r>
    </w:p>
    <w:p w:rsidR="008B739D" w:rsidRPr="00E93D32" w:rsidRDefault="00E93D32" w:rsidP="00E93D32">
      <w:pPr>
        <w:spacing w:line="240" w:lineRule="auto"/>
        <w:contextualSpacing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23) </w:t>
      </w:r>
      <w:r w:rsidR="008B739D" w:rsidRPr="00E93D3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Исследование финансовой устойчивости коммерческого банка</w:t>
      </w:r>
    </w:p>
    <w:p w:rsidR="00702CCE" w:rsidRPr="00E93D32" w:rsidRDefault="00E93D32" w:rsidP="00E93D32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24) </w:t>
      </w:r>
      <w:r w:rsidR="00702CCE" w:rsidRPr="00E93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Инвестиционная деятельность банков на рынке ценных бумаг</w:t>
      </w:r>
    </w:p>
    <w:p w:rsidR="00702CCE" w:rsidRPr="00E93D32" w:rsidRDefault="00E93D32" w:rsidP="00E93D32">
      <w:pPr>
        <w:spacing w:line="240" w:lineRule="auto"/>
        <w:contextualSpacing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25) </w:t>
      </w:r>
      <w:r w:rsidR="00702CCE" w:rsidRPr="00E93D3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Технологические инновации в финансовых услугах: риски и возможности для банков и банковских систем</w:t>
      </w:r>
    </w:p>
    <w:p w:rsidR="00702CCE" w:rsidRPr="00E93D32" w:rsidRDefault="00E93D32" w:rsidP="00E93D3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26) </w:t>
      </w:r>
      <w:r w:rsidR="00702CCE" w:rsidRPr="00E93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Модель оценки корпоративного кредитного риска банка</w:t>
      </w:r>
    </w:p>
    <w:sectPr w:rsidR="00702CCE" w:rsidRPr="00E93D32" w:rsidSect="00C04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A1F7E"/>
    <w:rsid w:val="0006493C"/>
    <w:rsid w:val="00144E0D"/>
    <w:rsid w:val="00155590"/>
    <w:rsid w:val="001C4BBE"/>
    <w:rsid w:val="002F659A"/>
    <w:rsid w:val="006A7237"/>
    <w:rsid w:val="00702CCE"/>
    <w:rsid w:val="00793840"/>
    <w:rsid w:val="007D536B"/>
    <w:rsid w:val="00850D5F"/>
    <w:rsid w:val="008B739D"/>
    <w:rsid w:val="00AA1F7E"/>
    <w:rsid w:val="00C04172"/>
    <w:rsid w:val="00DF291D"/>
    <w:rsid w:val="00E93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3D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1655</Characters>
  <Application>Microsoft Office Word</Application>
  <DocSecurity>0</DocSecurity>
  <Lines>13</Lines>
  <Paragraphs>3</Paragraphs>
  <ScaleCrop>false</ScaleCrop>
  <Company/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shasyanova</dc:creator>
  <cp:lastModifiedBy>egorovaei</cp:lastModifiedBy>
  <cp:revision>2</cp:revision>
  <dcterms:created xsi:type="dcterms:W3CDTF">2020-02-12T12:13:00Z</dcterms:created>
  <dcterms:modified xsi:type="dcterms:W3CDTF">2020-02-12T12:13:00Z</dcterms:modified>
</cp:coreProperties>
</file>