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79" w:rsidRDefault="00521479" w:rsidP="00521479">
      <w:pPr>
        <w:spacing w:after="0" w:line="360" w:lineRule="auto"/>
        <w:ind w:firstLine="709"/>
        <w:jc w:val="both"/>
        <w:rPr>
          <w:rFonts w:ascii="Times New Roman" w:hAnsi="Times New Roman" w:cs="Times New Roman"/>
          <w:sz w:val="24"/>
          <w:szCs w:val="24"/>
          <w:lang w:val="en-US"/>
        </w:rPr>
      </w:pPr>
      <w:r w:rsidRPr="00521479">
        <w:rPr>
          <w:rFonts w:ascii="Times New Roman" w:hAnsi="Times New Roman" w:cs="Times New Roman"/>
          <w:sz w:val="24"/>
          <w:szCs w:val="24"/>
          <w:lang w:val="en-US"/>
        </w:rPr>
        <w:t xml:space="preserve">The type of agency conflict can affect the choice between Outcome and Substitute model. </w:t>
      </w:r>
      <w:proofErr w:type="spellStart"/>
      <w:r w:rsidRPr="00521479">
        <w:rPr>
          <w:rFonts w:ascii="Times New Roman" w:hAnsi="Times New Roman" w:cs="Times New Roman"/>
          <w:sz w:val="24"/>
          <w:szCs w:val="24"/>
          <w:lang w:val="en-US"/>
        </w:rPr>
        <w:t>Barca</w:t>
      </w:r>
      <w:proofErr w:type="spellEnd"/>
      <w:r w:rsidRPr="00521479">
        <w:rPr>
          <w:rFonts w:ascii="Times New Roman" w:hAnsi="Times New Roman" w:cs="Times New Roman"/>
          <w:sz w:val="24"/>
          <w:szCs w:val="24"/>
          <w:lang w:val="en-US"/>
        </w:rPr>
        <w:t xml:space="preserve">, </w:t>
      </w:r>
      <w:proofErr w:type="spellStart"/>
      <w:r w:rsidRPr="00521479">
        <w:rPr>
          <w:rFonts w:ascii="Times New Roman" w:hAnsi="Times New Roman" w:cs="Times New Roman"/>
          <w:sz w:val="24"/>
          <w:szCs w:val="24"/>
          <w:lang w:val="en-US"/>
        </w:rPr>
        <w:t>Becht</w:t>
      </w:r>
      <w:proofErr w:type="spellEnd"/>
      <w:r w:rsidRPr="00521479">
        <w:rPr>
          <w:rFonts w:ascii="Times New Roman" w:hAnsi="Times New Roman" w:cs="Times New Roman"/>
          <w:sz w:val="24"/>
          <w:szCs w:val="24"/>
          <w:lang w:val="en-US"/>
        </w:rPr>
        <w:t xml:space="preserve"> (2001) in their book record a high concentration of control of corporations in many European countries with single </w:t>
      </w:r>
      <w:proofErr w:type="spellStart"/>
      <w:r w:rsidRPr="00521479">
        <w:rPr>
          <w:rFonts w:ascii="Times New Roman" w:hAnsi="Times New Roman" w:cs="Times New Roman"/>
          <w:sz w:val="24"/>
          <w:szCs w:val="24"/>
          <w:lang w:val="en-US"/>
        </w:rPr>
        <w:t>blockholders</w:t>
      </w:r>
      <w:proofErr w:type="spellEnd"/>
      <w:r w:rsidRPr="00521479">
        <w:rPr>
          <w:rFonts w:ascii="Times New Roman" w:hAnsi="Times New Roman" w:cs="Times New Roman"/>
          <w:sz w:val="24"/>
          <w:szCs w:val="24"/>
          <w:lang w:val="en-US"/>
        </w:rPr>
        <w:t xml:space="preserve"> frequently controlling more than fifty per cent of corporate votes, in contrast a majority of US listed companies have no </w:t>
      </w:r>
      <w:proofErr w:type="spellStart"/>
      <w:r w:rsidRPr="00521479">
        <w:rPr>
          <w:rFonts w:ascii="Times New Roman" w:hAnsi="Times New Roman" w:cs="Times New Roman"/>
          <w:sz w:val="24"/>
          <w:szCs w:val="24"/>
          <w:lang w:val="en-US"/>
        </w:rPr>
        <w:t>blockholder</w:t>
      </w:r>
      <w:proofErr w:type="spellEnd"/>
      <w:r w:rsidRPr="00521479">
        <w:rPr>
          <w:rFonts w:ascii="Times New Roman" w:hAnsi="Times New Roman" w:cs="Times New Roman"/>
          <w:sz w:val="24"/>
          <w:szCs w:val="24"/>
          <w:lang w:val="en-US"/>
        </w:rPr>
        <w:t xml:space="preserve"> with more than six per cent of shares. Thus, the classical conflict between managers and shareholders is an issue for the US economy, not the European companies. </w:t>
      </w:r>
      <w:proofErr w:type="spellStart"/>
      <w:r w:rsidRPr="00521479">
        <w:rPr>
          <w:rFonts w:ascii="Times New Roman" w:hAnsi="Times New Roman" w:cs="Times New Roman"/>
          <w:sz w:val="24"/>
          <w:szCs w:val="24"/>
          <w:lang w:val="en-US"/>
        </w:rPr>
        <w:t>Pindado</w:t>
      </w:r>
      <w:proofErr w:type="spellEnd"/>
      <w:r w:rsidRPr="00521479">
        <w:rPr>
          <w:rFonts w:ascii="Times New Roman" w:hAnsi="Times New Roman" w:cs="Times New Roman"/>
          <w:sz w:val="24"/>
          <w:szCs w:val="24"/>
          <w:lang w:val="en-US"/>
        </w:rPr>
        <w:t xml:space="preserve"> </w:t>
      </w:r>
      <w:proofErr w:type="gramStart"/>
      <w:r w:rsidRPr="00521479">
        <w:rPr>
          <w:rFonts w:ascii="Times New Roman" w:hAnsi="Times New Roman" w:cs="Times New Roman"/>
          <w:sz w:val="24"/>
          <w:szCs w:val="24"/>
          <w:lang w:val="en-US"/>
        </w:rPr>
        <w:t>et</w:t>
      </w:r>
      <w:proofErr w:type="gramEnd"/>
      <w:r w:rsidRPr="00521479">
        <w:rPr>
          <w:rFonts w:ascii="Times New Roman" w:hAnsi="Times New Roman" w:cs="Times New Roman"/>
          <w:sz w:val="24"/>
          <w:szCs w:val="24"/>
          <w:lang w:val="en-US"/>
        </w:rPr>
        <w:t xml:space="preserve">. </w:t>
      </w:r>
      <w:proofErr w:type="gramStart"/>
      <w:r w:rsidRPr="00521479">
        <w:rPr>
          <w:rFonts w:ascii="Times New Roman" w:hAnsi="Times New Roman" w:cs="Times New Roman"/>
          <w:sz w:val="24"/>
          <w:szCs w:val="24"/>
          <w:lang w:val="en-US"/>
        </w:rPr>
        <w:t>al</w:t>
      </w:r>
      <w:proofErr w:type="gramEnd"/>
      <w:r w:rsidRPr="00521479">
        <w:rPr>
          <w:rFonts w:ascii="Times New Roman" w:hAnsi="Times New Roman" w:cs="Times New Roman"/>
          <w:sz w:val="24"/>
          <w:szCs w:val="24"/>
          <w:lang w:val="en-US"/>
        </w:rPr>
        <w:t xml:space="preserve"> (2012) investigate dividend policy of European family firms and show the importance of taking into account the identity of large shareholders. They show that distributing higher and more stable dividends </w:t>
      </w:r>
      <w:proofErr w:type="gramStart"/>
      <w:r w:rsidRPr="00521479">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Pr="00521479">
        <w:rPr>
          <w:rFonts w:ascii="Times New Roman" w:hAnsi="Times New Roman" w:cs="Times New Roman"/>
          <w:sz w:val="24"/>
          <w:szCs w:val="24"/>
          <w:lang w:val="en-US"/>
        </w:rPr>
        <w:t>used</w:t>
      </w:r>
      <w:proofErr w:type="gramEnd"/>
      <w:r w:rsidRPr="00521479">
        <w:rPr>
          <w:rFonts w:ascii="Times New Roman" w:hAnsi="Times New Roman" w:cs="Times New Roman"/>
          <w:sz w:val="24"/>
          <w:szCs w:val="24"/>
          <w:lang w:val="en-US"/>
        </w:rPr>
        <w:t xml:space="preserve"> to overcome agency problems between the controlling family and minority investors. Du Boys (2017) studies the influence on conflicts between managers and shareholders and between majority and minority shareholders and identifies their relationships with payout. Through the study of French </w:t>
      </w:r>
      <w:proofErr w:type="gramStart"/>
      <w:r w:rsidRPr="00521479">
        <w:rPr>
          <w:rFonts w:ascii="Times New Roman" w:hAnsi="Times New Roman" w:cs="Times New Roman"/>
          <w:sz w:val="24"/>
          <w:szCs w:val="24"/>
          <w:lang w:val="en-US"/>
        </w:rPr>
        <w:t>firms</w:t>
      </w:r>
      <w:proofErr w:type="gramEnd"/>
      <w:r w:rsidRPr="00521479">
        <w:rPr>
          <w:rFonts w:ascii="Times New Roman" w:hAnsi="Times New Roman" w:cs="Times New Roman"/>
          <w:sz w:val="24"/>
          <w:szCs w:val="24"/>
          <w:lang w:val="en-US"/>
        </w:rPr>
        <w:t xml:space="preserve"> he shows that in France payout is not used to regulate conflicts between majority and minority shareholders, but rather to limit free cash flow risk or conflict between managers and shareholders. The author shows that among other corporate governance practices the majority of board characteristics do not affect dividend payouts, while institutional characteristics do.</w:t>
      </w:r>
      <w:r>
        <w:rPr>
          <w:rFonts w:ascii="Times New Roman" w:hAnsi="Times New Roman" w:cs="Times New Roman"/>
          <w:sz w:val="24"/>
          <w:szCs w:val="24"/>
          <w:lang w:val="en-US"/>
        </w:rPr>
        <w:t xml:space="preserve"> </w:t>
      </w:r>
      <w:r w:rsidRPr="00521479">
        <w:rPr>
          <w:rFonts w:ascii="Times New Roman" w:hAnsi="Times New Roman" w:cs="Times New Roman"/>
          <w:sz w:val="24"/>
          <w:szCs w:val="24"/>
          <w:lang w:val="en-US"/>
        </w:rPr>
        <w:t xml:space="preserve">The idea behind this result – is that different governance practices have limited efficiency to control different types of conflicts. For instance, board efficiency </w:t>
      </w:r>
      <w:proofErr w:type="gramStart"/>
      <w:r w:rsidRPr="00521479">
        <w:rPr>
          <w:rFonts w:ascii="Times New Roman" w:hAnsi="Times New Roman" w:cs="Times New Roman"/>
          <w:sz w:val="24"/>
          <w:szCs w:val="24"/>
          <w:lang w:val="en-US"/>
        </w:rPr>
        <w:t>is limited</w:t>
      </w:r>
      <w:proofErr w:type="gramEnd"/>
      <w:r w:rsidRPr="00521479">
        <w:rPr>
          <w:rFonts w:ascii="Times New Roman" w:hAnsi="Times New Roman" w:cs="Times New Roman"/>
          <w:sz w:val="24"/>
          <w:szCs w:val="24"/>
          <w:lang w:val="en-US"/>
        </w:rPr>
        <w:t xml:space="preserve"> by the fact that managers are founders of the company or a large ownership (Randall et al., 1989). The extension of legal protection with external instruments can defend the interests of minority shareholders from both risks of expropriation by managers or controlling shareholders (Du Boys, 2017). For instance, market control through audit or debt </w:t>
      </w:r>
      <w:proofErr w:type="gramStart"/>
      <w:r w:rsidRPr="00521479">
        <w:rPr>
          <w:rFonts w:ascii="Times New Roman" w:hAnsi="Times New Roman" w:cs="Times New Roman"/>
          <w:sz w:val="24"/>
          <w:szCs w:val="24"/>
          <w:lang w:val="en-US"/>
        </w:rPr>
        <w:t>holders</w:t>
      </w:r>
      <w:proofErr w:type="gramEnd"/>
      <w:r w:rsidRPr="00521479">
        <w:rPr>
          <w:rFonts w:ascii="Times New Roman" w:hAnsi="Times New Roman" w:cs="Times New Roman"/>
          <w:sz w:val="24"/>
          <w:szCs w:val="24"/>
          <w:lang w:val="en-US"/>
        </w:rPr>
        <w:t xml:space="preserve"> activities can be efficient for companies with concentrated ownership while antitakeover provisions can be a good corporate governance mechanism in firms with dispersed ownership (Denis, McConnell, 2003). </w:t>
      </w:r>
    </w:p>
    <w:p w:rsidR="00521479" w:rsidRDefault="00521479" w:rsidP="00521479">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We consider if we can associate</w:t>
      </w:r>
      <w:r w:rsidRPr="00521479">
        <w:rPr>
          <w:rFonts w:ascii="Times New Roman" w:hAnsi="Times New Roman" w:cs="Times New Roman"/>
          <w:sz w:val="24"/>
          <w:szCs w:val="24"/>
          <w:lang w:val="en-US"/>
        </w:rPr>
        <w:t xml:space="preserve"> various dimensions of</w:t>
      </w:r>
      <w:r>
        <w:rPr>
          <w:rFonts w:ascii="Times New Roman" w:hAnsi="Times New Roman" w:cs="Times New Roman"/>
          <w:sz w:val="24"/>
          <w:szCs w:val="24"/>
          <w:lang w:val="en-US"/>
        </w:rPr>
        <w:t xml:space="preserve"> ISS corporate governance index</w:t>
      </w:r>
      <w:r w:rsidRPr="00521479">
        <w:rPr>
          <w:rFonts w:ascii="Times New Roman" w:hAnsi="Times New Roman" w:cs="Times New Roman"/>
          <w:sz w:val="24"/>
          <w:szCs w:val="24"/>
          <w:lang w:val="en-US"/>
        </w:rPr>
        <w:t xml:space="preserve"> with two major types of agency conflicts.</w:t>
      </w:r>
    </w:p>
    <w:p w:rsidR="00521479" w:rsidRPr="00521479" w:rsidRDefault="00521479" w:rsidP="00521479">
      <w:pPr>
        <w:spacing w:after="0" w:line="360" w:lineRule="auto"/>
        <w:ind w:firstLine="709"/>
        <w:jc w:val="both"/>
        <w:rPr>
          <w:rFonts w:ascii="Times New Roman" w:hAnsi="Times New Roman" w:cs="Times New Roman"/>
          <w:sz w:val="24"/>
          <w:szCs w:val="24"/>
          <w:lang w:val="en-US"/>
        </w:rPr>
      </w:pPr>
      <w:r w:rsidRPr="00521479">
        <w:rPr>
          <w:rFonts w:ascii="Times New Roman" w:hAnsi="Times New Roman" w:cs="Times New Roman"/>
          <w:sz w:val="24"/>
          <w:szCs w:val="24"/>
          <w:lang w:val="en-US"/>
        </w:rPr>
        <w:t xml:space="preserve">As an aggregate measure of the corporate governance </w:t>
      </w:r>
      <w:proofErr w:type="gramStart"/>
      <w:r w:rsidRPr="00521479">
        <w:rPr>
          <w:rFonts w:ascii="Times New Roman" w:hAnsi="Times New Roman" w:cs="Times New Roman"/>
          <w:sz w:val="24"/>
          <w:szCs w:val="24"/>
          <w:lang w:val="en-US"/>
        </w:rPr>
        <w:t>quality</w:t>
      </w:r>
      <w:proofErr w:type="gramEnd"/>
      <w:r w:rsidRPr="00521479">
        <w:rPr>
          <w:rFonts w:ascii="Times New Roman" w:hAnsi="Times New Roman" w:cs="Times New Roman"/>
          <w:sz w:val="24"/>
          <w:szCs w:val="24"/>
          <w:lang w:val="en-US"/>
        </w:rPr>
        <w:t xml:space="preserve"> we use Quality Score developed by Institutional Shareholder Services (ISS). This score </w:t>
      </w:r>
      <w:proofErr w:type="gramStart"/>
      <w:r w:rsidRPr="00521479">
        <w:rPr>
          <w:rFonts w:ascii="Times New Roman" w:hAnsi="Times New Roman" w:cs="Times New Roman"/>
          <w:sz w:val="24"/>
          <w:szCs w:val="24"/>
          <w:lang w:val="en-US"/>
        </w:rPr>
        <w:t>has been used</w:t>
      </w:r>
      <w:proofErr w:type="gramEnd"/>
      <w:r w:rsidRPr="00521479">
        <w:rPr>
          <w:rFonts w:ascii="Times New Roman" w:hAnsi="Times New Roman" w:cs="Times New Roman"/>
          <w:sz w:val="24"/>
          <w:szCs w:val="24"/>
          <w:lang w:val="en-US"/>
        </w:rPr>
        <w:t xml:space="preserve"> in several previous studies to examine the impact of corporate governance on dividend policy (</w:t>
      </w:r>
      <w:proofErr w:type="spellStart"/>
      <w:r w:rsidRPr="00521479">
        <w:rPr>
          <w:rFonts w:ascii="Times New Roman" w:hAnsi="Times New Roman" w:cs="Times New Roman"/>
          <w:sz w:val="24"/>
          <w:szCs w:val="24"/>
          <w:lang w:val="en-US"/>
        </w:rPr>
        <w:t>Jiraporn</w:t>
      </w:r>
      <w:proofErr w:type="spellEnd"/>
      <w:r w:rsidRPr="00521479">
        <w:rPr>
          <w:rFonts w:ascii="Times New Roman" w:hAnsi="Times New Roman" w:cs="Times New Roman"/>
          <w:sz w:val="24"/>
          <w:szCs w:val="24"/>
          <w:lang w:val="en-US"/>
        </w:rPr>
        <w:t xml:space="preserve"> P., 2011, Chang, 2018). It </w:t>
      </w:r>
      <w:proofErr w:type="gramStart"/>
      <w:r w:rsidRPr="00521479">
        <w:rPr>
          <w:rFonts w:ascii="Times New Roman" w:hAnsi="Times New Roman" w:cs="Times New Roman"/>
          <w:sz w:val="24"/>
          <w:szCs w:val="24"/>
          <w:lang w:val="en-US"/>
        </w:rPr>
        <w:t>is based</w:t>
      </w:r>
      <w:proofErr w:type="gramEnd"/>
      <w:r w:rsidRPr="00521479">
        <w:rPr>
          <w:rFonts w:ascii="Times New Roman" w:hAnsi="Times New Roman" w:cs="Times New Roman"/>
          <w:sz w:val="24"/>
          <w:szCs w:val="24"/>
          <w:lang w:val="en-US"/>
        </w:rPr>
        <w:t xml:space="preserve"> on more than 220 qualitative and quantitative factors, which reflect both internal corp</w:t>
      </w:r>
      <w:r w:rsidRPr="00521479">
        <w:rPr>
          <w:rFonts w:ascii="Times New Roman" w:hAnsi="Times New Roman" w:cs="Times New Roman"/>
          <w:sz w:val="24"/>
          <w:szCs w:val="24"/>
          <w:lang w:val="en-US"/>
        </w:rPr>
        <w:softHyphen/>
        <w:t xml:space="preserve">orate mechanisms and the quality of the political and institutional environment in the region. It accounts for regional heterogeneity by allowing set of factors and their weights to vary across countries. Because of this feature, Quality </w:t>
      </w:r>
      <w:proofErr w:type="gramStart"/>
      <w:r w:rsidRPr="00521479">
        <w:rPr>
          <w:rFonts w:ascii="Times New Roman" w:hAnsi="Times New Roman" w:cs="Times New Roman"/>
          <w:sz w:val="24"/>
          <w:szCs w:val="24"/>
          <w:lang w:val="en-US"/>
        </w:rPr>
        <w:t>Score</w:t>
      </w:r>
      <w:proofErr w:type="gramEnd"/>
      <w:r w:rsidRPr="00521479">
        <w:rPr>
          <w:rFonts w:ascii="Times New Roman" w:hAnsi="Times New Roman" w:cs="Times New Roman"/>
          <w:sz w:val="24"/>
          <w:szCs w:val="24"/>
          <w:lang w:val="en-US"/>
        </w:rPr>
        <w:t xml:space="preserve"> can be used to compare companies from </w:t>
      </w:r>
      <w:r w:rsidRPr="00521479">
        <w:rPr>
          <w:rFonts w:ascii="Times New Roman" w:hAnsi="Times New Roman" w:cs="Times New Roman"/>
          <w:sz w:val="24"/>
          <w:szCs w:val="24"/>
          <w:lang w:val="en-US"/>
        </w:rPr>
        <w:lastRenderedPageBreak/>
        <w:t>different markets and countries without controlling for legal regime or other proxies for the country-level investor protection</w:t>
      </w:r>
      <w:r w:rsidRPr="00521479">
        <w:rPr>
          <w:rFonts w:ascii="Times New Roman" w:hAnsi="Times New Roman" w:cs="Times New Roman"/>
          <w:sz w:val="24"/>
          <w:szCs w:val="24"/>
          <w:lang w:val="en-US"/>
        </w:rPr>
        <w:footnoteReference w:id="1"/>
      </w:r>
      <w:r w:rsidRPr="00521479">
        <w:rPr>
          <w:rFonts w:ascii="Times New Roman" w:hAnsi="Times New Roman" w:cs="Times New Roman"/>
          <w:sz w:val="24"/>
          <w:szCs w:val="24"/>
          <w:lang w:val="en-US"/>
        </w:rPr>
        <w:t xml:space="preserve">. </w:t>
      </w:r>
    </w:p>
    <w:p w:rsidR="00521479" w:rsidRPr="00521479" w:rsidRDefault="00521479" w:rsidP="00521479">
      <w:pPr>
        <w:spacing w:after="0" w:line="360" w:lineRule="auto"/>
        <w:ind w:firstLine="709"/>
        <w:jc w:val="both"/>
        <w:rPr>
          <w:rFonts w:ascii="Times New Roman" w:hAnsi="Times New Roman" w:cs="Times New Roman"/>
          <w:sz w:val="24"/>
          <w:szCs w:val="24"/>
          <w:lang w:val="en-US"/>
        </w:rPr>
      </w:pPr>
      <w:r w:rsidRPr="00521479">
        <w:rPr>
          <w:rFonts w:ascii="Times New Roman" w:hAnsi="Times New Roman" w:cs="Times New Roman"/>
          <w:sz w:val="24"/>
          <w:szCs w:val="24"/>
          <w:lang w:val="en-US"/>
        </w:rPr>
        <w:t xml:space="preserve">Besides Quality </w:t>
      </w:r>
      <w:proofErr w:type="gramStart"/>
      <w:r w:rsidRPr="00521479">
        <w:rPr>
          <w:rFonts w:ascii="Times New Roman" w:hAnsi="Times New Roman" w:cs="Times New Roman"/>
          <w:sz w:val="24"/>
          <w:szCs w:val="24"/>
          <w:lang w:val="en-US"/>
        </w:rPr>
        <w:t>Score</w:t>
      </w:r>
      <w:proofErr w:type="gramEnd"/>
      <w:r w:rsidRPr="00521479">
        <w:rPr>
          <w:rFonts w:ascii="Times New Roman" w:hAnsi="Times New Roman" w:cs="Times New Roman"/>
          <w:sz w:val="24"/>
          <w:szCs w:val="24"/>
          <w:lang w:val="en-US"/>
        </w:rPr>
        <w:t xml:space="preserve"> as a general measure of corporate governance quality, ISS provides scores for more granular categories: Board Structure, Compensation/Remuneration, Shareholder Rights, and Audit and Risk Oversight. This allows us to analyze different types of </w:t>
      </w:r>
      <w:proofErr w:type="gramStart"/>
      <w:r w:rsidRPr="00521479">
        <w:rPr>
          <w:rFonts w:ascii="Times New Roman" w:hAnsi="Times New Roman" w:cs="Times New Roman"/>
          <w:sz w:val="24"/>
          <w:szCs w:val="24"/>
          <w:lang w:val="en-US"/>
        </w:rPr>
        <w:t>agency</w:t>
      </w:r>
      <w:proofErr w:type="gramEnd"/>
      <w:r w:rsidRPr="00521479">
        <w:rPr>
          <w:rFonts w:ascii="Times New Roman" w:hAnsi="Times New Roman" w:cs="Times New Roman"/>
          <w:sz w:val="24"/>
          <w:szCs w:val="24"/>
          <w:lang w:val="en-US"/>
        </w:rPr>
        <w:t xml:space="preserve"> conflicts in the company. Board Score </w:t>
      </w:r>
      <w:proofErr w:type="gramStart"/>
      <w:r w:rsidRPr="00521479">
        <w:rPr>
          <w:rFonts w:ascii="Times New Roman" w:hAnsi="Times New Roman" w:cs="Times New Roman"/>
          <w:sz w:val="24"/>
          <w:szCs w:val="24"/>
          <w:lang w:val="en-US"/>
        </w:rPr>
        <w:t>is based</w:t>
      </w:r>
      <w:proofErr w:type="gramEnd"/>
      <w:r w:rsidRPr="00521479">
        <w:rPr>
          <w:rFonts w:ascii="Times New Roman" w:hAnsi="Times New Roman" w:cs="Times New Roman"/>
          <w:sz w:val="24"/>
          <w:szCs w:val="24"/>
          <w:lang w:val="en-US"/>
        </w:rPr>
        <w:t xml:space="preserve"> on the classical measures of supervising managers’ decisions and the board ability to act in defending shareholders’ interests. However, the board efficiency </w:t>
      </w:r>
      <w:proofErr w:type="gramStart"/>
      <w:r w:rsidRPr="00521479">
        <w:rPr>
          <w:rFonts w:ascii="Times New Roman" w:hAnsi="Times New Roman" w:cs="Times New Roman"/>
          <w:sz w:val="24"/>
          <w:szCs w:val="24"/>
          <w:lang w:val="en-US"/>
        </w:rPr>
        <w:t>can be limited</w:t>
      </w:r>
      <w:proofErr w:type="gramEnd"/>
      <w:r w:rsidRPr="00521479">
        <w:rPr>
          <w:rFonts w:ascii="Times New Roman" w:hAnsi="Times New Roman" w:cs="Times New Roman"/>
          <w:sz w:val="24"/>
          <w:szCs w:val="24"/>
          <w:lang w:val="en-US"/>
        </w:rPr>
        <w:t xml:space="preserve"> by the fact that the directors are appointed on the annual meeting of shareholders. Thus, </w:t>
      </w:r>
      <w:proofErr w:type="spellStart"/>
      <w:r w:rsidRPr="00521479">
        <w:rPr>
          <w:rFonts w:ascii="Times New Roman" w:hAnsi="Times New Roman" w:cs="Times New Roman"/>
          <w:sz w:val="24"/>
          <w:szCs w:val="24"/>
          <w:lang w:val="en-US"/>
        </w:rPr>
        <w:t>blockholders</w:t>
      </w:r>
      <w:proofErr w:type="spellEnd"/>
      <w:r w:rsidRPr="00521479">
        <w:rPr>
          <w:rFonts w:ascii="Times New Roman" w:hAnsi="Times New Roman" w:cs="Times New Roman"/>
          <w:sz w:val="24"/>
          <w:szCs w:val="24"/>
          <w:lang w:val="en-US"/>
        </w:rPr>
        <w:t xml:space="preserve"> can influence board’s decisions even if it is formally independent. Compensation Score </w:t>
      </w:r>
      <w:proofErr w:type="gramStart"/>
      <w:r w:rsidRPr="00521479">
        <w:rPr>
          <w:rFonts w:ascii="Times New Roman" w:hAnsi="Times New Roman" w:cs="Times New Roman"/>
          <w:sz w:val="24"/>
          <w:szCs w:val="24"/>
          <w:lang w:val="en-US"/>
        </w:rPr>
        <w:t>is also focused</w:t>
      </w:r>
      <w:proofErr w:type="gramEnd"/>
      <w:r w:rsidRPr="00521479">
        <w:rPr>
          <w:rFonts w:ascii="Times New Roman" w:hAnsi="Times New Roman" w:cs="Times New Roman"/>
          <w:sz w:val="24"/>
          <w:szCs w:val="24"/>
          <w:lang w:val="en-US"/>
        </w:rPr>
        <w:t xml:space="preserve"> mostly on the conflict between managers and shareholders, as it helps to control managerial opportunistic behavior and does not deal with </w:t>
      </w:r>
      <w:proofErr w:type="spellStart"/>
      <w:r w:rsidRPr="00521479">
        <w:rPr>
          <w:rFonts w:ascii="Times New Roman" w:hAnsi="Times New Roman" w:cs="Times New Roman"/>
          <w:sz w:val="24"/>
          <w:szCs w:val="24"/>
          <w:lang w:val="en-US"/>
        </w:rPr>
        <w:t>blockholders</w:t>
      </w:r>
      <w:proofErr w:type="spellEnd"/>
      <w:r w:rsidRPr="00521479">
        <w:rPr>
          <w:rFonts w:ascii="Times New Roman" w:hAnsi="Times New Roman" w:cs="Times New Roman"/>
          <w:sz w:val="24"/>
          <w:szCs w:val="24"/>
          <w:lang w:val="en-US"/>
        </w:rPr>
        <w:t xml:space="preserve">’ expropriation. Audit Score can cover both types of conflict by external monitoring of the company performance. Shareholder Score, by the definition, </w:t>
      </w:r>
      <w:proofErr w:type="gramStart"/>
      <w:r w:rsidRPr="00521479">
        <w:rPr>
          <w:rFonts w:ascii="Times New Roman" w:hAnsi="Times New Roman" w:cs="Times New Roman"/>
          <w:sz w:val="24"/>
          <w:szCs w:val="24"/>
          <w:lang w:val="en-US"/>
        </w:rPr>
        <w:t>is focused</w:t>
      </w:r>
      <w:proofErr w:type="gramEnd"/>
      <w:r w:rsidRPr="00521479">
        <w:rPr>
          <w:rFonts w:ascii="Times New Roman" w:hAnsi="Times New Roman" w:cs="Times New Roman"/>
          <w:sz w:val="24"/>
          <w:szCs w:val="24"/>
          <w:lang w:val="en-US"/>
        </w:rPr>
        <w:t xml:space="preserve"> on the defending shareholders’ interests, so it should cover both types of conflicts.</w:t>
      </w:r>
      <w:bookmarkStart w:id="0" w:name="_GoBack"/>
      <w:bookmarkEnd w:id="0"/>
    </w:p>
    <w:p w:rsidR="00521479" w:rsidRPr="00521479" w:rsidRDefault="00521479" w:rsidP="00521479">
      <w:pPr>
        <w:spacing w:after="0" w:line="360" w:lineRule="auto"/>
        <w:ind w:firstLine="709"/>
        <w:jc w:val="both"/>
        <w:rPr>
          <w:rFonts w:ascii="Times New Roman" w:hAnsi="Times New Roman" w:cs="Times New Roman"/>
          <w:sz w:val="24"/>
          <w:szCs w:val="24"/>
          <w:lang w:val="en-US"/>
        </w:rPr>
      </w:pPr>
    </w:p>
    <w:p w:rsidR="00DC4FD7" w:rsidRPr="00521479" w:rsidRDefault="00DC4FD7" w:rsidP="00521479">
      <w:pPr>
        <w:spacing w:after="0" w:line="360" w:lineRule="auto"/>
        <w:ind w:firstLine="709"/>
        <w:jc w:val="both"/>
        <w:rPr>
          <w:rFonts w:ascii="Times New Roman" w:hAnsi="Times New Roman" w:cs="Times New Roman"/>
          <w:sz w:val="24"/>
          <w:szCs w:val="24"/>
          <w:lang w:val="en-US"/>
        </w:rPr>
      </w:pPr>
    </w:p>
    <w:sectPr w:rsidR="00DC4FD7" w:rsidRPr="005214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68" w:rsidRDefault="00170968" w:rsidP="00521479">
      <w:pPr>
        <w:spacing w:after="0" w:line="240" w:lineRule="auto"/>
      </w:pPr>
      <w:r>
        <w:separator/>
      </w:r>
    </w:p>
  </w:endnote>
  <w:endnote w:type="continuationSeparator" w:id="0">
    <w:p w:rsidR="00170968" w:rsidRDefault="00170968" w:rsidP="0052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68" w:rsidRDefault="00170968" w:rsidP="00521479">
      <w:pPr>
        <w:spacing w:after="0" w:line="240" w:lineRule="auto"/>
      </w:pPr>
      <w:r>
        <w:separator/>
      </w:r>
    </w:p>
  </w:footnote>
  <w:footnote w:type="continuationSeparator" w:id="0">
    <w:p w:rsidR="00170968" w:rsidRDefault="00170968" w:rsidP="00521479">
      <w:pPr>
        <w:spacing w:after="0" w:line="240" w:lineRule="auto"/>
      </w:pPr>
      <w:r>
        <w:continuationSeparator/>
      </w:r>
    </w:p>
  </w:footnote>
  <w:footnote w:id="1">
    <w:p w:rsidR="00521479" w:rsidRDefault="00521479" w:rsidP="00521479">
      <w:pPr>
        <w:pStyle w:val="a5"/>
      </w:pPr>
      <w:r>
        <w:rPr>
          <w:rStyle w:val="a7"/>
        </w:rPr>
        <w:footnoteRef/>
      </w:r>
      <w:r>
        <w:t xml:space="preserve"> Besides, Mitton shows that</w:t>
      </w:r>
      <w:r w:rsidRPr="00C918C3">
        <w:t xml:space="preserve"> corporate governance and country-level investor protection work as complements</w:t>
      </w:r>
      <w:r>
        <w:t xml:space="preserve"> for</w:t>
      </w:r>
      <w:r w:rsidRPr="00C918C3">
        <w:t xml:space="preserve"> investor protection</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79"/>
    <w:rsid w:val="00170968"/>
    <w:rsid w:val="003003D7"/>
    <w:rsid w:val="00521479"/>
    <w:rsid w:val="00DC4FD7"/>
    <w:rsid w:val="00FD0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1B20"/>
  <w15:chartTrackingRefBased/>
  <w15:docId w15:val="{251DC159-6F9F-416A-AA7D-49CEC588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C58"/>
  </w:style>
  <w:style w:type="paragraph" w:styleId="1">
    <w:name w:val="heading 1"/>
    <w:basedOn w:val="a"/>
    <w:next w:val="a"/>
    <w:link w:val="10"/>
    <w:uiPriority w:val="9"/>
    <w:qFormat/>
    <w:rsid w:val="00FD0C58"/>
    <w:pPr>
      <w:keepNext/>
      <w:keepLines/>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FD0C58"/>
    <w:pPr>
      <w:keepNext/>
      <w:keepLines/>
      <w:spacing w:before="160" w:after="120"/>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FD0C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C58"/>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FD0C58"/>
    <w:rPr>
      <w:rFonts w:ascii="Times New Roman" w:eastAsiaTheme="majorEastAsia" w:hAnsi="Times New Roman" w:cstheme="majorBidi"/>
      <w:b/>
      <w:sz w:val="28"/>
      <w:szCs w:val="26"/>
    </w:rPr>
  </w:style>
  <w:style w:type="paragraph" w:styleId="a3">
    <w:name w:val="List Paragraph"/>
    <w:basedOn w:val="a"/>
    <w:uiPriority w:val="34"/>
    <w:qFormat/>
    <w:rsid w:val="00FD0C58"/>
    <w:pPr>
      <w:ind w:left="720"/>
      <w:contextualSpacing/>
    </w:pPr>
  </w:style>
  <w:style w:type="paragraph" w:styleId="a4">
    <w:name w:val="TOC Heading"/>
    <w:basedOn w:val="1"/>
    <w:next w:val="a"/>
    <w:uiPriority w:val="39"/>
    <w:unhideWhenUsed/>
    <w:qFormat/>
    <w:rsid w:val="00FD0C58"/>
    <w:pPr>
      <w:outlineLvl w:val="9"/>
    </w:pPr>
    <w:rPr>
      <w:rFonts w:asciiTheme="majorHAnsi" w:hAnsiTheme="majorHAnsi"/>
      <w:b w:val="0"/>
      <w:color w:val="2E74B5" w:themeColor="accent1" w:themeShade="BF"/>
      <w:lang w:eastAsia="ru-RU"/>
    </w:rPr>
  </w:style>
  <w:style w:type="character" w:customStyle="1" w:styleId="30">
    <w:name w:val="Заголовок 3 Знак"/>
    <w:basedOn w:val="a0"/>
    <w:link w:val="3"/>
    <w:uiPriority w:val="9"/>
    <w:semiHidden/>
    <w:rsid w:val="00FD0C58"/>
    <w:rPr>
      <w:rFonts w:asciiTheme="majorHAnsi" w:eastAsiaTheme="majorEastAsia" w:hAnsiTheme="majorHAnsi" w:cstheme="majorBidi"/>
      <w:color w:val="1F4D78" w:themeColor="accent1" w:themeShade="7F"/>
      <w:sz w:val="24"/>
      <w:szCs w:val="24"/>
    </w:rPr>
  </w:style>
  <w:style w:type="paragraph" w:styleId="a5">
    <w:name w:val="footnote text"/>
    <w:basedOn w:val="a"/>
    <w:link w:val="a6"/>
    <w:uiPriority w:val="99"/>
    <w:semiHidden/>
    <w:unhideWhenUsed/>
    <w:rsid w:val="00521479"/>
    <w:pPr>
      <w:spacing w:after="0" w:line="240" w:lineRule="auto"/>
      <w:ind w:firstLine="709"/>
      <w:jc w:val="both"/>
    </w:pPr>
    <w:rPr>
      <w:rFonts w:ascii="Times New Roman" w:hAnsi="Times New Roman" w:cs="Times New Roman"/>
      <w:sz w:val="20"/>
      <w:szCs w:val="20"/>
      <w:lang w:val="en-US"/>
    </w:rPr>
  </w:style>
  <w:style w:type="character" w:customStyle="1" w:styleId="a6">
    <w:name w:val="Текст сноски Знак"/>
    <w:basedOn w:val="a0"/>
    <w:link w:val="a5"/>
    <w:uiPriority w:val="99"/>
    <w:semiHidden/>
    <w:rsid w:val="00521479"/>
    <w:rPr>
      <w:rFonts w:ascii="Times New Roman" w:hAnsi="Times New Roman" w:cs="Times New Roman"/>
      <w:sz w:val="20"/>
      <w:szCs w:val="20"/>
      <w:lang w:val="en-US"/>
    </w:rPr>
  </w:style>
  <w:style w:type="character" w:styleId="a7">
    <w:name w:val="footnote reference"/>
    <w:basedOn w:val="a0"/>
    <w:uiPriority w:val="99"/>
    <w:semiHidden/>
    <w:unhideWhenUsed/>
    <w:rsid w:val="00521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Khvostova</dc:creator>
  <cp:keywords/>
  <dc:description/>
  <cp:lastModifiedBy>Irina Khvostova</cp:lastModifiedBy>
  <cp:revision>1</cp:revision>
  <dcterms:created xsi:type="dcterms:W3CDTF">2020-12-04T07:18:00Z</dcterms:created>
  <dcterms:modified xsi:type="dcterms:W3CDTF">2020-12-04T07:22:00Z</dcterms:modified>
</cp:coreProperties>
</file>