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7C" w:rsidRPr="00346939" w:rsidRDefault="00490B15" w:rsidP="008873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>Аннотации образовательного компонента образовательной программы «</w:t>
      </w:r>
      <w:r w:rsidR="002F3F27">
        <w:rPr>
          <w:rFonts w:ascii="Times New Roman" w:hAnsi="Times New Roman" w:cs="Times New Roman"/>
          <w:b/>
          <w:sz w:val="26"/>
          <w:szCs w:val="26"/>
        </w:rPr>
        <w:t>Математика и механика</w:t>
      </w:r>
      <w:r w:rsidRPr="00346939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9352" w:type="dxa"/>
        <w:tblLook w:val="04A0"/>
      </w:tblPr>
      <w:tblGrid>
        <w:gridCol w:w="2668"/>
        <w:gridCol w:w="756"/>
        <w:gridCol w:w="5928"/>
      </w:tblGrid>
      <w:tr w:rsidR="00490B15" w:rsidRPr="00490B15" w:rsidTr="00EC147C">
        <w:tc>
          <w:tcPr>
            <w:tcW w:w="2668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756" w:type="dxa"/>
          </w:tcPr>
          <w:p w:rsidR="00490B15" w:rsidRPr="00490B15" w:rsidRDefault="00490B15">
            <w:pPr>
              <w:ind w:lef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5E581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5928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Default="005C175A" w:rsidP="00907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 дисциплина</w:t>
            </w:r>
          </w:p>
        </w:tc>
        <w:tc>
          <w:tcPr>
            <w:tcW w:w="756" w:type="dxa"/>
          </w:tcPr>
          <w:p w:rsidR="005C175A" w:rsidRPr="00442C01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928" w:type="dxa"/>
          </w:tcPr>
          <w:p w:rsidR="005C175A" w:rsidRPr="00442C01" w:rsidRDefault="005C175A" w:rsidP="00EF2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Целью специальной дисциплины является подготовка к сдаче кандидатского экзамена по специальности</w:t>
            </w:r>
            <w:r w:rsidR="00095739">
              <w:rPr>
                <w:rFonts w:ascii="Times New Roman" w:hAnsi="Times New Roman" w:cs="Times New Roman"/>
                <w:sz w:val="26"/>
                <w:szCs w:val="26"/>
              </w:rPr>
              <w:t>. Дисциплина предполагает самостоятельную работу аспиранта по глубинному изучению предмета.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42C01" w:rsidRDefault="005C175A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Дополнительные главы качественной теории динамических систем, геометрии и вещественного анализа</w:t>
            </w:r>
          </w:p>
        </w:tc>
        <w:tc>
          <w:tcPr>
            <w:tcW w:w="756" w:type="dxa"/>
          </w:tcPr>
          <w:p w:rsidR="005C175A" w:rsidRPr="00442C01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928" w:type="dxa"/>
          </w:tcPr>
          <w:p w:rsidR="005C175A" w:rsidRPr="00442C01" w:rsidRDefault="005C175A" w:rsidP="00EF2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 относится к </w:t>
            </w:r>
            <w:r w:rsidR="004F7CC1">
              <w:rPr>
                <w:rFonts w:ascii="Times New Roman" w:hAnsi="Times New Roman" w:cs="Times New Roman"/>
                <w:sz w:val="26"/>
                <w:szCs w:val="26"/>
              </w:rPr>
              <w:t>обязательной</w:t>
            </w: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 части подготовки научно-педагогических кадров в аспирантуре для </w:t>
            </w:r>
            <w:r w:rsidR="007F6D33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и механика</w:t>
            </w:r>
          </w:p>
          <w:p w:rsidR="005C175A" w:rsidRPr="00442C01" w:rsidRDefault="005C175A" w:rsidP="00EF2552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Цель освоения дисциплины:</w:t>
            </w:r>
          </w:p>
          <w:p w:rsidR="005C175A" w:rsidRPr="00442C01" w:rsidRDefault="005C175A" w:rsidP="00EF2552">
            <w:pPr>
              <w:pStyle w:val="a4"/>
              <w:numPr>
                <w:ilvl w:val="0"/>
                <w:numId w:val="2"/>
              </w:numPr>
              <w:shd w:val="clear" w:color="auto" w:fill="FFFFFF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Изучение важных примеров систем, иллюстрирующих разнообразие динамических эффектов в математических моделях и современных результатов качественной теории динамических систем.</w:t>
            </w:r>
          </w:p>
          <w:p w:rsidR="005C175A" w:rsidRPr="00442C01" w:rsidRDefault="005C175A" w:rsidP="004C680A">
            <w:pPr>
              <w:pStyle w:val="a4"/>
              <w:numPr>
                <w:ilvl w:val="0"/>
                <w:numId w:val="2"/>
              </w:numPr>
              <w:shd w:val="clear" w:color="auto" w:fill="FFFFFF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классическими результатами и методами в области изучения топологии вещественных алгебраических кривых и поверхностей. </w:t>
            </w:r>
          </w:p>
          <w:p w:rsidR="005C175A" w:rsidRPr="00442C01" w:rsidRDefault="005C175A" w:rsidP="004C680A">
            <w:pPr>
              <w:pStyle w:val="a4"/>
              <w:numPr>
                <w:ilvl w:val="0"/>
                <w:numId w:val="2"/>
              </w:numPr>
              <w:shd w:val="clear" w:color="auto" w:fill="FFFFFF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Изучение избранных разделов  вещественного, комплексного и функционального анализа</w:t>
            </w:r>
          </w:p>
          <w:p w:rsidR="005C175A" w:rsidRPr="00442C01" w:rsidRDefault="005C175A" w:rsidP="00EF2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75A" w:rsidRPr="00490B15" w:rsidTr="00EC147C">
        <w:tc>
          <w:tcPr>
            <w:tcW w:w="2668" w:type="dxa"/>
          </w:tcPr>
          <w:p w:rsidR="005C175A" w:rsidRPr="00490B15" w:rsidRDefault="005C175A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>Бифуркации и хаос в двумерных и трехмерных отображениях</w:t>
            </w:r>
          </w:p>
        </w:tc>
        <w:tc>
          <w:tcPr>
            <w:tcW w:w="756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928" w:type="dxa"/>
          </w:tcPr>
          <w:p w:rsidR="005C175A" w:rsidRPr="002F3F27" w:rsidRDefault="005C175A" w:rsidP="002F3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 xml:space="preserve">Настоящая программа устанавливает минимальные требования к знаниям и умениям аспирантов, обучающихся по </w:t>
            </w:r>
            <w:r w:rsidR="007F6D33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программе</w:t>
            </w: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и механика, специальность 1.1.2 Дифференциальные уравнения и математическая физика.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175A" w:rsidRPr="002F3F27" w:rsidRDefault="005C175A" w:rsidP="002F3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>Цель освоения дисциплины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175A" w:rsidRPr="002F3F27" w:rsidRDefault="005C175A" w:rsidP="002F3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>Освоение понятий неподвижных точек, мультипликаторов и бифуркаций отображений</w:t>
            </w:r>
          </w:p>
          <w:p w:rsidR="005C175A" w:rsidRPr="002F3F27" w:rsidRDefault="005C175A" w:rsidP="002F3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>Освоение аналитических и численных методов исследования бифуркаций двумерных отображений</w:t>
            </w:r>
          </w:p>
          <w:p w:rsidR="005C175A" w:rsidRPr="008873D9" w:rsidRDefault="005C175A" w:rsidP="002F3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75A" w:rsidRPr="00490B15" w:rsidTr="00EC147C">
        <w:tc>
          <w:tcPr>
            <w:tcW w:w="2668" w:type="dxa"/>
          </w:tcPr>
          <w:p w:rsidR="005C175A" w:rsidRPr="00490B15" w:rsidRDefault="005C175A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7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Приложения теории динамических систем в естествознании </w:t>
            </w:r>
          </w:p>
        </w:tc>
        <w:tc>
          <w:tcPr>
            <w:tcW w:w="756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928" w:type="dxa"/>
          </w:tcPr>
          <w:p w:rsidR="005C175A" w:rsidRPr="002F3F27" w:rsidRDefault="005C175A" w:rsidP="00FB7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 xml:space="preserve">Настоящая программа устанавливает минимальные требования к знаниям и умениям аспирантов, обучающихся по </w:t>
            </w:r>
            <w:r w:rsidR="007F6D33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программе</w:t>
            </w: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и механика, специальность 1.1.2 Дифференциальные уравнения и математическая физика.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175A" w:rsidRPr="002F3F27" w:rsidRDefault="005C175A" w:rsidP="00FB7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F27">
              <w:rPr>
                <w:rFonts w:ascii="Times New Roman" w:hAnsi="Times New Roman" w:cs="Times New Roman"/>
                <w:sz w:val="26"/>
                <w:szCs w:val="26"/>
              </w:rPr>
              <w:t>Цель освоения дисциплины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175A" w:rsidRPr="00490B15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2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Освоение методов математического моделирования и методов исследования математических моделей, возникающих в естествознании, и динамики процессов, изучаемых естественными науками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EC147C" w:rsidRDefault="005C175A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Топология и геометрия слоений</w:t>
            </w:r>
          </w:p>
        </w:tc>
        <w:tc>
          <w:tcPr>
            <w:tcW w:w="756" w:type="dxa"/>
          </w:tcPr>
          <w:p w:rsidR="005C175A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928" w:type="dxa"/>
          </w:tcPr>
          <w:p w:rsidR="005C175A" w:rsidRPr="00FB72BE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2BE">
              <w:rPr>
                <w:rFonts w:ascii="Times New Roman" w:hAnsi="Times New Roman" w:cs="Times New Roman"/>
                <w:sz w:val="26"/>
                <w:szCs w:val="26"/>
              </w:rPr>
              <w:t xml:space="preserve">Курс «Топология и геометрия слоений» содержит основные понятия и фундаментальные результаты по геометрической теории слоений. Он содержит следующие разделы: 1. Гладкие слоения. Топологические свойства слоев; 2. Слоения, согласованные с геометрическими структурами; 3. Слоения со связностями </w:t>
            </w:r>
            <w:proofErr w:type="spellStart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>Эресмана</w:t>
            </w:r>
            <w:proofErr w:type="spellEnd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 xml:space="preserve"> и 4. Применение алгебраической топологии при изучении слоений. Особое внимание уделено существованию минимальных множеств и, в особенности, замкнутых слоев слоений. Аспиранты знакомятся с теоремой Новикова о существовании замкнутого слоя для слоений </w:t>
            </w:r>
            <w:proofErr w:type="spellStart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>коразмерности</w:t>
            </w:r>
            <w:proofErr w:type="spellEnd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 xml:space="preserve"> один на трехмерной сфере, а также с результатами </w:t>
            </w:r>
            <w:proofErr w:type="spellStart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>Фака</w:t>
            </w:r>
            <w:proofErr w:type="spellEnd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>Скандалиса</w:t>
            </w:r>
            <w:proofErr w:type="spellEnd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>характеризации</w:t>
            </w:r>
            <w:proofErr w:type="spellEnd"/>
            <w:r w:rsidRPr="00FB72BE">
              <w:rPr>
                <w:rFonts w:ascii="Times New Roman" w:hAnsi="Times New Roman" w:cs="Times New Roman"/>
                <w:sz w:val="26"/>
                <w:szCs w:val="26"/>
              </w:rPr>
              <w:t xml:space="preserve"> топологических свойств слоений посредством алгебраических свойств C*-алгебр этих слоений.</w:t>
            </w:r>
          </w:p>
          <w:p w:rsidR="005C175A" w:rsidRPr="00FB72BE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2BE">
              <w:rPr>
                <w:rFonts w:ascii="Times New Roman" w:hAnsi="Times New Roman" w:cs="Times New Roman"/>
                <w:sz w:val="26"/>
                <w:szCs w:val="26"/>
              </w:rPr>
              <w:t>Цель освоения дисциплины:</w:t>
            </w:r>
          </w:p>
          <w:p w:rsidR="005C175A" w:rsidRPr="00490B15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72BE">
              <w:rPr>
                <w:rFonts w:ascii="Times New Roman" w:hAnsi="Times New Roman" w:cs="Times New Roman"/>
                <w:sz w:val="26"/>
                <w:szCs w:val="26"/>
              </w:rPr>
              <w:t>зучение фундаментальных разделов теории слоений и овладение современным математическим аппаратом теории слоений для дальнейшего использования при решении задач как теории слоений, так и задач теории динамических систем.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EC147C" w:rsidRDefault="005C175A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055">
              <w:rPr>
                <w:rFonts w:ascii="Times New Roman" w:hAnsi="Times New Roman" w:cs="Times New Roman"/>
                <w:sz w:val="26"/>
                <w:szCs w:val="26"/>
              </w:rPr>
              <w:t>Топология вещественных алгебраических кривых</w:t>
            </w:r>
          </w:p>
        </w:tc>
        <w:tc>
          <w:tcPr>
            <w:tcW w:w="756" w:type="dxa"/>
          </w:tcPr>
          <w:p w:rsidR="005C175A" w:rsidRPr="00490B15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928" w:type="dxa"/>
          </w:tcPr>
          <w:p w:rsidR="005C175A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 направлен на ознакомление аспирантов с постановками задач и результатами в области изучения топологии вещественных алгебраических кривых, не входящей в программу обучения в бакалавриате. Цель освоения дисциплины – сформировать базовый набор знаний и умений, необходимый для самостоятельного исследования в данной области.</w:t>
            </w:r>
          </w:p>
          <w:p w:rsidR="005C175A" w:rsidRPr="008971B4" w:rsidRDefault="005C175A" w:rsidP="00312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 содержит следующие разделы</w:t>
            </w:r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топологические следствия теоремы Безу</w:t>
            </w:r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Харнака</w:t>
            </w:r>
            <w:proofErr w:type="spellEnd"/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методы построения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Харнака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Гильберта,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Брюзотти</w:t>
            </w:r>
            <w:proofErr w:type="spellEnd"/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квадратичные преобразования</w:t>
            </w:r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Гудкова кривых степени 6; сравнение Гудкова</w:t>
            </w:r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понятие М-многообразия</w:t>
            </w:r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patchworking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 построения алгебраических кривых</w:t>
            </w:r>
            <w:r w:rsidRPr="008971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 Оревкова для доказательства запретов на топологию алгебраических кривых, основанный на теории кос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зацеплений.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42C01" w:rsidRDefault="005C175A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Свойства и применение непрерывных нигде не дифференцируемых функций</w:t>
            </w:r>
          </w:p>
        </w:tc>
        <w:tc>
          <w:tcPr>
            <w:tcW w:w="756" w:type="dxa"/>
          </w:tcPr>
          <w:p w:rsidR="005C175A" w:rsidRPr="00490B15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928" w:type="dxa"/>
          </w:tcPr>
          <w:p w:rsidR="005C175A" w:rsidRPr="00442C01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Курс состоит из нескольких взаимосвязанных разделов. Будет представлен метод крайних </w:t>
            </w:r>
            <w:proofErr w:type="spellStart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подаргуметов</w:t>
            </w:r>
            <w:proofErr w:type="spellEnd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, позволяющий находить экстремумы функционалов, заданных на линейных пространствах без топологии. Далее, будет показано, как этот метод работает на содержательных одномерных примерах – в том числе, на нигде не дифференцируемой непрерывной функции </w:t>
            </w:r>
            <w:proofErr w:type="spellStart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Такаги</w:t>
            </w:r>
            <w:proofErr w:type="spellEnd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 и некоторых других функций с близкими свойствами. Будет рассказано о применении функции </w:t>
            </w:r>
            <w:proofErr w:type="spellStart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Кобаяши-Грея-Такаги</w:t>
            </w:r>
            <w:proofErr w:type="spellEnd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 для вычисления и оценивания цифровых сумм в кодировке Грея. Будут рассмотрены результаты, дополняющие и развивающие темы, указанные выше.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42C01" w:rsidRDefault="005C175A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Классические теоремы теории однопараметрических операторных полугрупп</w:t>
            </w:r>
          </w:p>
        </w:tc>
        <w:tc>
          <w:tcPr>
            <w:tcW w:w="756" w:type="dxa"/>
          </w:tcPr>
          <w:p w:rsidR="005C175A" w:rsidRPr="00490B15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928" w:type="dxa"/>
          </w:tcPr>
          <w:p w:rsidR="005C175A" w:rsidRPr="00490B15" w:rsidRDefault="005C175A" w:rsidP="00EC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Курс начинается с введения в теорию однопараметрических полугрупп операторов: будет дано определение инфинитезимального генератора полугруппы и из него выведена связь полугрупп и решений линейных дифференциальных уравнений первого порядка, называемых также эволюционными уравнениями. После этого будут рассмотрены классические теоремы операторных полугрупп: </w:t>
            </w:r>
            <w:proofErr w:type="spellStart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Хилле-Иосиды</w:t>
            </w:r>
            <w:proofErr w:type="spellEnd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Люмьера-Филлипса</w:t>
            </w:r>
            <w:proofErr w:type="spellEnd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Троттера-Като</w:t>
            </w:r>
            <w:proofErr w:type="spellEnd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Троттера</w:t>
            </w:r>
            <w:proofErr w:type="spellEnd"/>
            <w:r w:rsidRPr="00442C01">
              <w:rPr>
                <w:rFonts w:ascii="Times New Roman" w:hAnsi="Times New Roman" w:cs="Times New Roman"/>
                <w:sz w:val="26"/>
                <w:szCs w:val="26"/>
              </w:rPr>
              <w:t>, Чернова и другие.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Аспирантский семинар</w:t>
            </w:r>
          </w:p>
        </w:tc>
        <w:tc>
          <w:tcPr>
            <w:tcW w:w="756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928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3D9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 семинар предполагает участие аспирантов в семинарах научных лабораторий НИУ ВШЭ в Нижнем Новгороде.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756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5928" w:type="dxa"/>
          </w:tcPr>
          <w:p w:rsidR="005C175A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научног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о знания и динамикой его развития, факторами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социокультурной детерминации познания, научной 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постнеклассической</w:t>
            </w:r>
            <w:proofErr w:type="spellEnd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науки.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756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5928" w:type="dxa"/>
          </w:tcPr>
          <w:p w:rsidR="005C175A" w:rsidRPr="00490B15" w:rsidRDefault="005C175A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«Иностранный язык» является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подготовка к сдаче кандидатского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минимума по иностранному языку. В рамках поставленной задачи аспиранты:</w:t>
            </w:r>
          </w:p>
          <w:p w:rsidR="005C175A" w:rsidRPr="00490B15" w:rsidRDefault="005C175A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совершенств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в высшей школе, обеспечивающи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:rsidR="005C175A" w:rsidRPr="00490B15" w:rsidRDefault="005C175A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закономерност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и лингвистических особенностей научных текстов на иностранном языке;</w:t>
            </w:r>
          </w:p>
          <w:p w:rsidR="005C175A" w:rsidRPr="00490B15" w:rsidRDefault="005C175A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ab/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академически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с научными информационными источниками, критическое чтение, реферирование, рецензирование научных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756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928" w:type="dxa"/>
          </w:tcPr>
          <w:p w:rsidR="005C175A" w:rsidRPr="00ED3EDC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практика направлена на развитие и закрепление навыков апробации полученных аспирантом научных результатов: </w:t>
            </w:r>
          </w:p>
          <w:p w:rsidR="005C175A" w:rsidRPr="005E5812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:rsidR="005C175A" w:rsidRPr="005E5812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выработк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:rsidR="005C175A" w:rsidRPr="00490B15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5C175A" w:rsidRPr="00490B15" w:rsidTr="00EC147C">
        <w:tc>
          <w:tcPr>
            <w:tcW w:w="2668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Научно-педагогическая практика</w:t>
            </w:r>
          </w:p>
        </w:tc>
        <w:tc>
          <w:tcPr>
            <w:tcW w:w="756" w:type="dxa"/>
          </w:tcPr>
          <w:p w:rsidR="005C175A" w:rsidRPr="00490B15" w:rsidRDefault="005C1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928" w:type="dxa"/>
          </w:tcPr>
          <w:p w:rsidR="005C175A" w:rsidRPr="005E5812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Научно-педагогическая 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направлена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 аспирантов компетен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преподавателя высшей школы.</w:t>
            </w:r>
          </w:p>
          <w:p w:rsidR="005C175A" w:rsidRPr="005E5812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Задачами научно-педагогической практики являются:</w:t>
            </w:r>
          </w:p>
          <w:p w:rsidR="005C175A" w:rsidRPr="005E5812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:rsidR="005C175A" w:rsidRPr="005E5812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:rsidR="005C175A" w:rsidRPr="005E5812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материалов, программ для реализации учебных дисциплин,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содержательно близких к профилю научного исследования;</w:t>
            </w:r>
          </w:p>
          <w:p w:rsidR="005C175A" w:rsidRPr="00490B15" w:rsidRDefault="005C175A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апробация результатов осуществляемого научного исследования в высшей школе.</w:t>
            </w:r>
          </w:p>
        </w:tc>
      </w:tr>
    </w:tbl>
    <w:p w:rsidR="005E5812" w:rsidRDefault="005E5812">
      <w:pPr>
        <w:rPr>
          <w:rFonts w:ascii="Times New Roman" w:hAnsi="Times New Roman" w:cs="Times New Roman"/>
          <w:sz w:val="26"/>
          <w:szCs w:val="26"/>
        </w:rPr>
      </w:pP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– обязательный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– по выбору</w:t>
      </w:r>
    </w:p>
    <w:p w:rsidR="00346939" w:rsidRPr="00490B15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 - факультатив</w:t>
      </w:r>
    </w:p>
    <w:sectPr w:rsidR="00346939" w:rsidRPr="00490B15" w:rsidSect="000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653"/>
    <w:multiLevelType w:val="hybridMultilevel"/>
    <w:tmpl w:val="D8B8CC54"/>
    <w:lvl w:ilvl="0" w:tplc="B2CA81E0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25BA"/>
    <w:multiLevelType w:val="hybridMultilevel"/>
    <w:tmpl w:val="8B34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15"/>
    <w:rsid w:val="000129E7"/>
    <w:rsid w:val="00061CA7"/>
    <w:rsid w:val="00095739"/>
    <w:rsid w:val="00114723"/>
    <w:rsid w:val="00287E02"/>
    <w:rsid w:val="002F3F27"/>
    <w:rsid w:val="003126A0"/>
    <w:rsid w:val="00346939"/>
    <w:rsid w:val="0037308D"/>
    <w:rsid w:val="003D62E4"/>
    <w:rsid w:val="00442C01"/>
    <w:rsid w:val="00490B15"/>
    <w:rsid w:val="004F7CC1"/>
    <w:rsid w:val="005C175A"/>
    <w:rsid w:val="005D4609"/>
    <w:rsid w:val="005E5812"/>
    <w:rsid w:val="0070415A"/>
    <w:rsid w:val="007F6D33"/>
    <w:rsid w:val="008873D9"/>
    <w:rsid w:val="008971B4"/>
    <w:rsid w:val="008E4879"/>
    <w:rsid w:val="009130C3"/>
    <w:rsid w:val="00AB72F6"/>
    <w:rsid w:val="00B330EE"/>
    <w:rsid w:val="00BF1055"/>
    <w:rsid w:val="00D52B7B"/>
    <w:rsid w:val="00E414FC"/>
    <w:rsid w:val="00EB7E34"/>
    <w:rsid w:val="00EC147C"/>
    <w:rsid w:val="00ED3EDC"/>
    <w:rsid w:val="00EF2552"/>
    <w:rsid w:val="00F45EAC"/>
    <w:rsid w:val="00F7282B"/>
    <w:rsid w:val="00FB72BE"/>
    <w:rsid w:val="00F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7"/>
  </w:style>
  <w:style w:type="paragraph" w:styleId="4">
    <w:name w:val="heading 4"/>
    <w:basedOn w:val="a"/>
    <w:link w:val="40"/>
    <w:uiPriority w:val="9"/>
    <w:qFormat/>
    <w:rsid w:val="002F3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F3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4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priem</cp:lastModifiedBy>
  <cp:revision>9</cp:revision>
  <dcterms:created xsi:type="dcterms:W3CDTF">2022-01-18T07:42:00Z</dcterms:created>
  <dcterms:modified xsi:type="dcterms:W3CDTF">2023-05-15T07:42:00Z</dcterms:modified>
</cp:coreProperties>
</file>