
<file path=[Content_Types].xml><?xml version="1.0" encoding="utf-8"?>
<Types xmlns="http://schemas.openxmlformats.org/package/2006/content-types">
  <Default ContentType="application/vnd.openxmlformats-officedocument.oleObject" Extension="bin"/>
  <Default ContentType="image/jpeg" Extension="jpeg"/>
  <Default ContentType="image/png" Extension="png"/>
  <Default ContentType="application/vnd.openxmlformats-package.relationships+xml" Extension="rels"/>
  <Default ContentType="image/x-wmf" Extension="wmf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REFERENCE JAXB in Oracle Java 1.8.0_192 on Linux -->
    <w:p>
      <w:pPr>
        <w:spacing w:lineRule="auto" w:line="360"/>
        <w:ind w:left="11057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Приложение </w:t>
      </w:r>
      <w:r>
        <w:rPr>
          <w:rFonts w:hAnsi="Times New Roman" w:ascii="Times New Roman"/>
          <w:sz w:val="26"/>
          <w:szCs w:val="26"/>
        </w:rPr>
        <w:t xml:space="preserve">4</w:t>
      </w:r>
      <w:r/>
    </w:p>
    <w:p>
      <w:pPr>
        <w:spacing w:lineRule="auto" w:line="240" w:after="0"/>
        <w:ind w:left="11057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УТВЕРЖДЕН</w:t>
      </w:r>
      <w:r>
        <w:rPr>
          <w:rFonts w:hAnsi="Times New Roman" w:ascii="Times New Roman"/>
          <w:sz w:val="26"/>
          <w:szCs w:val="26"/>
        </w:rPr>
        <w:t xml:space="preserve">Ы</w:t>
      </w:r>
      <w:r/>
    </w:p>
    <w:p>
      <w:pPr>
        <w:spacing w:lineRule="auto" w:line="240" w:after="0"/>
        <w:ind w:left="11057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приказом НИУ ВШЭ</w:t>
      </w:r>
      <w:r/>
    </w:p>
    <w:p>
      <w:pPr>
        <w:spacing w:lineRule="auto" w:line="240" w:after="0"/>
        <w:ind w:left="11057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shd w:fill="FFFFFF" w:color="auto" w:val="clear"/>
        <w:spacing w:lineRule="auto" w:line="240"/>
        <w:ind w:firstLine="6096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hAnsi="Times New Roman" w:ascii="Times New Roman"/>
          <w:sz w:val="26"/>
          <w:szCs w:val="26"/>
        </w:rPr>
        <w:t xml:space="preserve">от ______</w:t>
      </w:r>
      <w:r>
        <w:rPr>
          <w:rFonts w:hAnsi="Times New Roman" w:ascii="Times New Roman"/>
          <w:sz w:val="26"/>
          <w:szCs w:val="26"/>
        </w:rPr>
        <w:t xml:space="preserve">2020 </w:t>
      </w:r>
      <w:r>
        <w:rPr>
          <w:rFonts w:hAnsi="Times New Roman" w:ascii="Times New Roman"/>
          <w:sz w:val="26"/>
          <w:szCs w:val="26"/>
        </w:rPr>
        <w:t xml:space="preserve">№</w:t>
      </w:r>
      <w:r>
        <w:rPr>
          <w:rFonts w:hAnsi="Times New Roman" w:ascii="Times New Roman"/>
          <w:sz w:val="26"/>
          <w:szCs w:val="26"/>
        </w:rPr>
        <w:t xml:space="preserve">___________</w:t>
      </w:r>
      <w:r/>
    </w:p>
    <w:p>
      <w:pPr>
        <w:spacing w:lineRule="auto" w:line="240" w:after="0"/>
        <w:ind w:left="9912"/>
        <w:jc w:val="center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jc w:val="center"/>
        <w:rPr>
          <w:rFonts w:hAnsi="Times New Roman" w:ascii="Times New Roman"/>
          <w:b/>
          <w:sz w:val="28"/>
          <w:szCs w:val="28"/>
        </w:rPr>
      </w:pPr>
      <w:r>
        <w:rPr>
          <w:rFonts w:hAnsi="Times New Roman" w:ascii="Times New Roman"/>
          <w:b/>
          <w:sz w:val="28"/>
          <w:szCs w:val="28"/>
        </w:rPr>
        <w:t xml:space="preserve">Нормати</w:t>
      </w:r>
      <w:r>
        <w:rPr>
          <w:rFonts w:hAnsi="Times New Roman" w:ascii="Times New Roman"/>
          <w:b/>
          <w:sz w:val="28"/>
          <w:szCs w:val="28"/>
        </w:rPr>
        <w:t xml:space="preserve">вы для расчета </w:t>
      </w:r>
      <w:r>
        <w:rPr>
          <w:rFonts w:hAnsi="Times New Roman" w:ascii="Times New Roman"/>
          <w:b/>
          <w:sz w:val="28"/>
          <w:szCs w:val="28"/>
        </w:rPr>
        <w:t xml:space="preserve">дополнительной </w:t>
      </w:r>
      <w:r>
        <w:rPr>
          <w:rFonts w:hAnsi="Times New Roman" w:ascii="Times New Roman"/>
          <w:b/>
          <w:sz w:val="28"/>
          <w:szCs w:val="28"/>
        </w:rPr>
        <w:t xml:space="preserve">образовательной </w:t>
      </w:r>
      <w:r>
        <w:rPr>
          <w:rFonts w:hAnsi="Times New Roman" w:ascii="Times New Roman"/>
          <w:b/>
          <w:sz w:val="28"/>
          <w:szCs w:val="28"/>
        </w:rPr>
        <w:t xml:space="preserve">работы</w:t>
      </w:r>
      <w:r>
        <w:rPr>
          <w:rFonts w:hAnsi="Times New Roman" w:ascii="Times New Roman"/>
          <w:b/>
          <w:sz w:val="28"/>
          <w:szCs w:val="28"/>
        </w:rPr>
        <w:t xml:space="preserve">, выполняемой научными работниками, не являющимися одновременно работниками </w:t>
      </w:r>
      <w:r>
        <w:rPr>
          <w:rFonts w:hAnsi="Times New Roman" w:ascii="Times New Roman"/>
          <w:b/>
          <w:sz w:val="28"/>
          <w:szCs w:val="28"/>
        </w:rPr>
        <w:t xml:space="preserve">профессорско-преподавательского состава</w:t>
      </w:r>
      <w:r>
        <w:rPr>
          <w:rFonts w:hAnsi="Times New Roman" w:ascii="Times New Roman"/>
          <w:b/>
          <w:sz w:val="28"/>
          <w:szCs w:val="28"/>
        </w:rPr>
        <w:t xml:space="preserve"> </w:t>
      </w:r>
      <w:r>
        <w:rPr>
          <w:rFonts w:hAnsi="Times New Roman" w:ascii="Times New Roman"/>
          <w:b/>
          <w:sz w:val="28"/>
          <w:szCs w:val="28"/>
        </w:rPr>
        <w:t xml:space="preserve">Национального исслед</w:t>
      </w:r>
      <w:r>
        <w:rPr>
          <w:rFonts w:hAnsi="Times New Roman" w:ascii="Times New Roman"/>
          <w:b/>
          <w:sz w:val="28"/>
          <w:szCs w:val="28"/>
        </w:rPr>
        <w:t xml:space="preserve">о</w:t>
      </w:r>
      <w:r>
        <w:rPr>
          <w:rFonts w:hAnsi="Times New Roman" w:ascii="Times New Roman"/>
          <w:b/>
          <w:sz w:val="28"/>
          <w:szCs w:val="28"/>
        </w:rPr>
        <w:t xml:space="preserve">вательско</w:t>
      </w:r>
      <w:r>
        <w:rPr>
          <w:rFonts w:hAnsi="Times New Roman" w:ascii="Times New Roman"/>
          <w:b/>
          <w:sz w:val="28"/>
          <w:szCs w:val="28"/>
        </w:rPr>
        <w:t xml:space="preserve">го </w:t>
      </w:r>
      <w:r>
        <w:rPr>
          <w:rFonts w:hAnsi="Times New Roman" w:ascii="Times New Roman"/>
          <w:b/>
          <w:sz w:val="28"/>
          <w:szCs w:val="28"/>
        </w:rPr>
        <w:t xml:space="preserve"> университет</w:t>
      </w:r>
      <w:r>
        <w:rPr>
          <w:rFonts w:hAnsi="Times New Roman" w:ascii="Times New Roman"/>
          <w:b/>
          <w:sz w:val="28"/>
          <w:szCs w:val="28"/>
        </w:rPr>
        <w:t xml:space="preserve">а «Высшая школа экономики»</w:t>
      </w:r>
      <w:r>
        <w:rPr>
          <w:rFonts w:hAnsi="Times New Roman" w:ascii="Times New Roman"/>
          <w:b/>
          <w:sz w:val="28"/>
          <w:szCs w:val="28"/>
        </w:rPr>
        <w:t xml:space="preserve"> </w:t>
      </w:r>
      <w:r>
        <w:rPr>
          <w:rFonts w:hAnsi="Times New Roman" w:ascii="Times New Roman"/>
          <w:b/>
          <w:sz w:val="28"/>
          <w:szCs w:val="28"/>
        </w:rPr>
        <w:t xml:space="preserve">на </w:t>
      </w:r>
      <w:r>
        <w:rPr>
          <w:rFonts w:hAnsi="Times New Roman" w:ascii="Times New Roman"/>
          <w:b/>
          <w:sz w:val="28"/>
          <w:szCs w:val="28"/>
        </w:rPr>
        <w:t xml:space="preserve">20</w:t>
      </w:r>
      <w:r>
        <w:rPr>
          <w:rFonts w:hAnsi="Times New Roman" w:ascii="Times New Roman"/>
          <w:b/>
          <w:sz w:val="28"/>
          <w:szCs w:val="28"/>
        </w:rPr>
        <w:t xml:space="preserve">20/</w:t>
      </w:r>
      <w:r>
        <w:rPr>
          <w:rFonts w:hAnsi="Times New Roman" w:ascii="Times New Roman"/>
          <w:b/>
          <w:sz w:val="28"/>
          <w:szCs w:val="28"/>
        </w:rPr>
        <w:t xml:space="preserve">20</w:t>
      </w:r>
      <w:r>
        <w:rPr>
          <w:rFonts w:hAnsi="Times New Roman" w:ascii="Times New Roman"/>
          <w:b/>
          <w:sz w:val="28"/>
          <w:szCs w:val="28"/>
        </w:rPr>
        <w:t xml:space="preserve">21</w:t>
      </w:r>
      <w:r>
        <w:rPr>
          <w:rFonts w:hAnsi="Times New Roman" w:ascii="Times New Roman"/>
          <w:b/>
          <w:sz w:val="28"/>
          <w:szCs w:val="28"/>
        </w:rPr>
        <w:t xml:space="preserve"> </w:t>
      </w:r>
      <w:r>
        <w:rPr>
          <w:rFonts w:hAnsi="Times New Roman" w:ascii="Times New Roman"/>
          <w:b/>
          <w:sz w:val="28"/>
          <w:szCs w:val="28"/>
        </w:rPr>
        <w:t xml:space="preserve">учебный год</w:t>
      </w:r>
      <w:r/>
    </w:p>
    <w:tbl>
      <w:tblPr>
        <w:tblW w:type="dxa" w:w="14848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val="04A0" w:noVBand="1" w:noHBand="0" w:lastColumn="0" w:firstColumn="1" w:lastRow="0" w:firstRow="1"/>
      </w:tblPr>
      <w:tblGrid>
        <w:gridCol w:w="533"/>
        <w:gridCol w:w="9183"/>
        <w:gridCol w:w="5103"/>
        <w:gridCol w:w="28"/>
      </w:tblGrid>
      <w:tr>
        <w:trPr>
          <w:tblHeader/>
        </w:trPr>
        <w:tc>
          <w:tcPr>
            <w:tcW w:type="dxa" w:w="533"/>
            <w:shd w:fill="FBD4B4" w:color="auto" w:val="clear"/>
            <w:noWrap w:val="false"/>
            <w:textDirection w:val="lrTb"/>
          </w:tcPr>
          <w:p>
            <w:pPr>
              <w:jc w:val="center"/>
              <w:rPr>
                <w:rFonts w:hAnsi="Times New Roman" w:ascii="Times New Roman"/>
                <w:b/>
                <w:sz w:val="26"/>
                <w:szCs w:val="26"/>
              </w:rPr>
            </w:pPr>
            <w:r>
              <w:rPr>
                <w:rFonts w:hAnsi="Times New Roman" w:ascii="Times New Roman"/>
                <w:b/>
                <w:sz w:val="26"/>
                <w:szCs w:val="26"/>
              </w:rPr>
              <w:t xml:space="preserve">№</w:t>
            </w:r>
            <w:r/>
          </w:p>
        </w:tc>
        <w:tc>
          <w:tcPr>
            <w:tcW w:type="dxa" w:w="9183"/>
            <w:shd w:fill="FBD4B4" w:color="auto" w:val="clear"/>
            <w:noWrap w:val="false"/>
            <w:textDirection w:val="lrTb"/>
          </w:tcPr>
          <w:p>
            <w:pPr>
              <w:jc w:val="center"/>
              <w:rPr>
                <w:rFonts w:hAnsi="Times New Roman" w:ascii="Times New Roman"/>
                <w:b/>
                <w:sz w:val="26"/>
                <w:szCs w:val="26"/>
              </w:rPr>
            </w:pPr>
            <w:r>
              <w:rPr>
                <w:rFonts w:hAnsi="Times New Roman" w:ascii="Times New Roman"/>
                <w:b/>
                <w:sz w:val="26"/>
                <w:szCs w:val="26"/>
              </w:rPr>
              <w:t xml:space="preserve">Вид образовательной</w:t>
            </w:r>
            <w:r>
              <w:rPr>
                <w:rFonts w:hAnsi="Times New Roman" w:ascii="Times New Roman"/>
                <w:b/>
                <w:sz w:val="26"/>
                <w:szCs w:val="26"/>
              </w:rPr>
              <w:t xml:space="preserve"> работы</w:t>
            </w:r>
            <w:r/>
          </w:p>
        </w:tc>
        <w:tc>
          <w:tcPr>
            <w:tcW w:type="dxa" w:w="5132"/>
            <w:gridSpan w:val="2"/>
            <w:shd w:fill="FBD4B4" w:color="auto" w:val="clear"/>
            <w:noWrap w:val="false"/>
            <w:textDirection w:val="lrTb"/>
          </w:tcPr>
          <w:p>
            <w:pPr>
              <w:jc w:val="center"/>
              <w:rPr>
                <w:rFonts w:hAnsi="Times New Roman" w:ascii="Times New Roman"/>
                <w:b/>
                <w:sz w:val="26"/>
                <w:szCs w:val="26"/>
              </w:rPr>
            </w:pPr>
            <w:r>
              <w:rPr>
                <w:rFonts w:hAnsi="Times New Roman" w:ascii="Times New Roman"/>
                <w:b/>
                <w:sz w:val="26"/>
                <w:szCs w:val="26"/>
              </w:rPr>
              <w:t xml:space="preserve">Количество академических часов в единицу измерения</w:t>
            </w:r>
            <w:r/>
          </w:p>
        </w:tc>
      </w:tr>
      <w:tr>
        <w:trPr>
          <w:gridAfter w:val="1"/>
          <w:wAfter w:type="dxa" w:w="28"/>
        </w:trPr>
        <w:tc>
          <w:tcPr>
            <w:tcW w:type="dxa" w:w="533"/>
            <w:noWrap w:val="false"/>
            <w:textDirection w:val="lrTb"/>
          </w:tcPr>
          <w:p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</w:r>
            <w:r/>
          </w:p>
        </w:tc>
        <w:tc>
          <w:tcPr>
            <w:tcW w:type="dxa" w:w="9183"/>
            <w:shd w:fill="auto" w:color="auto" w:val="clear"/>
            <w:noWrap w:val="false"/>
            <w:textDirection w:val="lrTb"/>
          </w:tcPr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Проведение консультаций со студентами и аспирантами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НИУ ВШЭ</w:t>
            </w:r>
            <w:r/>
          </w:p>
        </w:tc>
        <w:tc>
          <w:tcPr>
            <w:tcW w:type="dxa" w:w="5103"/>
            <w:shd w:fill="auto" w:color="auto" w:val="clear"/>
            <w:noWrap w:val="false"/>
            <w:textDirection w:val="lrTb"/>
          </w:tcPr>
          <w:p>
            <w:pPr>
              <w:jc w:val="center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1 час (при проведении консультации для 1-3 человек)</w:t>
            </w:r>
            <w:r/>
          </w:p>
          <w:p>
            <w:pPr>
              <w:jc w:val="center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2 часа (при проведении консультации для 4 человек и более)  </w:t>
            </w:r>
            <w:r/>
          </w:p>
        </w:tc>
      </w:tr>
      <w:tr>
        <w:trPr>
          <w:gridAfter w:val="1"/>
          <w:wAfter w:type="dxa" w:w="28"/>
        </w:trPr>
        <w:tc>
          <w:tcPr>
            <w:tcW w:type="dxa" w:w="533"/>
            <w:noWrap w:val="false"/>
            <w:textDirection w:val="lrTb"/>
          </w:tcPr>
          <w:p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</w:r>
            <w:r/>
          </w:p>
        </w:tc>
        <w:tc>
          <w:tcPr>
            <w:tcW w:type="dxa" w:w="9183"/>
            <w:shd w:fill="auto" w:color="auto" w:val="clear"/>
            <w:noWrap w:val="false"/>
            <w:textDirection w:val="lrTb"/>
          </w:tcPr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Чтение и письменное рецензирова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ние письменных работ студентов или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аспирантов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НИУ ВШЭ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, не относящихся в категории курсовых работ и ВКР</w:t>
            </w:r>
            <w:r/>
          </w:p>
        </w:tc>
        <w:tc>
          <w:tcPr>
            <w:tcW w:type="dxa" w:w="5103"/>
            <w:shd w:fill="auto" w:color="auto" w:val="clear"/>
            <w:noWrap w:val="false"/>
            <w:textDirection w:val="lrTb"/>
          </w:tcPr>
          <w:p>
            <w:pPr>
              <w:jc w:val="center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2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час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а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(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на одну работу)</w:t>
            </w:r>
            <w:r/>
          </w:p>
        </w:tc>
      </w:tr>
      <w:tr>
        <w:trPr>
          <w:gridAfter w:val="1"/>
          <w:wAfter w:type="dxa" w:w="28"/>
        </w:trPr>
        <w:tc>
          <w:tcPr>
            <w:tcW w:type="dxa" w:w="533"/>
            <w:noWrap w:val="false"/>
            <w:textDirection w:val="lrTb"/>
          </w:tcPr>
          <w:p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</w:r>
            <w:r/>
          </w:p>
        </w:tc>
        <w:tc>
          <w:tcPr>
            <w:tcW w:type="dxa" w:w="9183"/>
            <w:shd w:fill="auto" w:color="auto" w:val="clear"/>
            <w:noWrap w:val="false"/>
            <w:textDirection w:val="lrTb"/>
          </w:tcPr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Чтение и устное рецензирование письменных работ студентов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или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аспирантов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НИУ ВШЭ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, не относящихся в категории курсовых работ и ВКР</w:t>
            </w:r>
            <w:r/>
          </w:p>
        </w:tc>
        <w:tc>
          <w:tcPr>
            <w:tcW w:type="dxa" w:w="5103"/>
            <w:shd w:fill="auto" w:color="auto" w:val="clear"/>
            <w:noWrap w:val="false"/>
            <w:textDirection w:val="lrTb"/>
          </w:tcPr>
          <w:p>
            <w:pPr>
              <w:jc w:val="center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1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час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(на одну работу)</w:t>
            </w:r>
            <w:r/>
          </w:p>
        </w:tc>
      </w:tr>
      <w:tr>
        <w:trPr>
          <w:gridAfter w:val="1"/>
          <w:wAfter w:type="dxa" w:w="28"/>
        </w:trPr>
        <w:tc>
          <w:tcPr>
            <w:tcW w:type="dxa" w:w="533"/>
            <w:noWrap w:val="false"/>
            <w:textDirection w:val="lrTb"/>
          </w:tcPr>
          <w:p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</w:r>
            <w:r/>
          </w:p>
        </w:tc>
        <w:tc>
          <w:tcPr>
            <w:tcW w:type="dxa" w:w="9183"/>
            <w:shd w:fill="auto" w:color="auto" w:val="clear"/>
            <w:noWrap w:val="false"/>
            <w:textDirection w:val="lrTb"/>
          </w:tcPr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Рецензирование работ в рамках конкурса НИРС НИУ ВШЭ</w:t>
            </w:r>
            <w:r/>
          </w:p>
        </w:tc>
        <w:tc>
          <w:tcPr>
            <w:tcW w:type="dxa" w:w="5103"/>
            <w:shd w:fill="auto" w:color="auto" w:val="clear"/>
            <w:noWrap w:val="false"/>
            <w:textDirection w:val="lrTb"/>
          </w:tcPr>
          <w:p>
            <w:pPr>
              <w:jc w:val="center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1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час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(на одну работу)</w:t>
            </w:r>
            <w:r/>
          </w:p>
        </w:tc>
      </w:tr>
      <w:tr>
        <w:trPr>
          <w:gridAfter w:val="1"/>
          <w:wAfter w:type="dxa" w:w="28"/>
        </w:trPr>
        <w:tc>
          <w:tcPr>
            <w:tcW w:type="dxa" w:w="533"/>
            <w:noWrap w:val="false"/>
            <w:textDirection w:val="lrTb"/>
          </w:tcPr>
          <w:p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</w:r>
            <w:r/>
          </w:p>
        </w:tc>
        <w:tc>
          <w:tcPr>
            <w:tcW w:type="dxa" w:w="9183"/>
            <w:shd w:fill="auto" w:color="auto" w:val="clear"/>
            <w:noWrap w:val="false"/>
            <w:textDirection w:val="lrTb"/>
          </w:tcPr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Участие в научно-исслед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овательских семинарах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образовательных программ высшего образования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НИУ ВШЭ</w:t>
            </w:r>
            <w:r/>
          </w:p>
        </w:tc>
        <w:tc>
          <w:tcPr>
            <w:tcW w:type="dxa" w:w="5103"/>
            <w:shd w:fill="auto" w:color="auto" w:val="clear"/>
            <w:noWrap w:val="false"/>
            <w:textDirection w:val="lrTb"/>
          </w:tcPr>
          <w:p>
            <w:pPr>
              <w:pStyle w:val="27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факту участия в проведении НИС (количество часов не должно превышать 25% от общей нагрузки по НИС)</w:t>
            </w:r>
            <w:r/>
          </w:p>
        </w:tc>
      </w:tr>
      <w:tr>
        <w:trPr>
          <w:gridAfter w:val="1"/>
          <w:wAfter w:type="dxa" w:w="28"/>
        </w:trPr>
        <w:tc>
          <w:tcPr>
            <w:tcW w:type="dxa" w:w="533"/>
            <w:vMerge w:val="restart"/>
            <w:noWrap w:val="false"/>
            <w:textDirection w:val="lrTb"/>
          </w:tcPr>
          <w:p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</w:r>
            <w:r>
              <w:rPr>
                <w:rFonts w:hAnsi="Times New Roman" w:ascii="Times New Roman"/>
                <w:sz w:val="26"/>
                <w:szCs w:val="26"/>
              </w:rPr>
            </w:r>
            <w:r/>
          </w:p>
        </w:tc>
        <w:tc>
          <w:tcPr>
            <w:tcW w:type="dxa" w:w="9183"/>
            <w:vMerge w:val="restart"/>
            <w:shd w:fill="FFFFFF" w:color="auto" w:val="clear"/>
            <w:noWrap w:val="false"/>
            <w:textDirection w:val="lrTb"/>
          </w:tcPr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</w:r>
            <w:r>
              <w:rPr>
                <w:rFonts w:hAnsi="Times New Roman" w:ascii="Times New Roman"/>
                <w:sz w:val="26"/>
              </w:rPr>
              <w:t xml:space="preserve">Участие в олимпиадах (жюри, методической комиссии) </w:t>
            </w:r>
            <w:r>
              <w:rPr>
                <w:rFonts w:hAnsi="Times New Roman" w:ascii="Times New Roman"/>
                <w:sz w:val="26"/>
                <w:szCs w:val="26"/>
              </w:rPr>
            </w:r>
            <w:r/>
          </w:p>
        </w:tc>
        <w:tc>
          <w:tcPr>
            <w:tcW w:type="dxa" w:w="5103"/>
            <w:vMerge w:val="restart"/>
            <w:shd w:fill="FFFFFF" w:color="auto" w:val="clear"/>
            <w:noWrap w:val="false"/>
            <w:textDirection w:val="lrTb"/>
          </w:tcPr>
          <w:p>
            <w:pPr>
              <w:pStyle w:val="27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0,3</w:t>
            </w:r>
            <w:r>
              <w:rPr>
                <w:sz w:val="26"/>
                <w:szCs w:val="26"/>
              </w:rPr>
              <w:t xml:space="preserve"> часа на проверку 1 работы, </w:t>
            </w:r>
            <w:r>
              <w:rPr>
                <w:sz w:val="26"/>
              </w:rPr>
              <w:t xml:space="preserve">5 часов за участие в жюри, методической комиссии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gridAfter w:val="1"/>
          <w:wAfter w:type="dxa" w:w="28"/>
        </w:trPr>
        <w:tc>
          <w:tcPr>
            <w:tcW w:type="dxa" w:w="533"/>
            <w:noWrap w:val="false"/>
            <w:textDirection w:val="lrTb"/>
          </w:tcPr>
          <w:p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</w:r>
            <w:r/>
          </w:p>
        </w:tc>
        <w:tc>
          <w:tcPr>
            <w:tcW w:type="dxa" w:w="9183"/>
            <w:shd w:fill="auto" w:color="auto" w:val="clear"/>
            <w:noWrap w:val="false"/>
            <w:textDirection w:val="lrTb"/>
          </w:tcPr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Выполнение любой образовательной деятельности со студентами полностью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платных образовательных программ при условии отсутствия денежной компенсации за эту деятельность</w:t>
            </w:r>
            <w:r/>
          </w:p>
        </w:tc>
        <w:tc>
          <w:tcPr>
            <w:tcW w:type="dxa" w:w="5103"/>
            <w:shd w:fill="auto" w:color="auto" w:val="clear"/>
            <w:noWrap w:val="false"/>
            <w:textDirection w:val="lrTb"/>
          </w:tcPr>
          <w:p>
            <w:pPr>
              <w:pStyle w:val="27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нормативам за каждый определенный </w:t>
            </w:r>
            <w:r>
              <w:rPr>
                <w:sz w:val="26"/>
                <w:szCs w:val="26"/>
              </w:rPr>
              <w:t xml:space="preserve">вид образовательной деятельности (лекции, семинары, руководство </w:t>
            </w:r>
            <w:r>
              <w:rPr>
                <w:sz w:val="26"/>
                <w:szCs w:val="26"/>
              </w:rPr>
              <w:t xml:space="preserve">курсовыми</w:t>
            </w:r>
            <w:r>
              <w:rPr>
                <w:sz w:val="26"/>
                <w:szCs w:val="26"/>
              </w:rPr>
              <w:t xml:space="preserve"> и пр.)</w:t>
            </w:r>
            <w:r/>
          </w:p>
        </w:tc>
      </w:tr>
      <w:tr>
        <w:trPr>
          <w:gridAfter w:val="1"/>
          <w:wAfter w:type="dxa" w:w="28"/>
        </w:trPr>
        <w:tc>
          <w:tcPr>
            <w:tcW w:type="dxa" w:w="533"/>
            <w:noWrap w:val="false"/>
            <w:textDirection w:val="lrTb"/>
          </w:tcPr>
          <w:p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</w:r>
            <w:r/>
          </w:p>
        </w:tc>
        <w:tc>
          <w:tcPr>
            <w:tcW w:type="dxa" w:w="9183"/>
            <w:shd w:fill="auto" w:color="auto" w:val="clear"/>
            <w:noWrap w:val="false"/>
            <w:textDirection w:val="lrTb"/>
          </w:tcPr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Проведение курсов повышения квалификации для работников или студентов НИУ ВШЭ при условии отсутствия денежной компенсации за эту деятельность</w:t>
            </w:r>
            <w:r/>
          </w:p>
        </w:tc>
        <w:tc>
          <w:tcPr>
            <w:tcW w:type="dxa" w:w="5103"/>
            <w:shd w:fill="auto" w:color="auto" w:val="clear"/>
            <w:noWrap w:val="false"/>
            <w:textDirection w:val="lrTb"/>
          </w:tcPr>
          <w:p>
            <w:pPr>
              <w:pStyle w:val="27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часа за один академический час аудиторной работы, предусмотренной программой повышения квалификации и порученный этому научному работнику</w:t>
            </w:r>
            <w:r/>
          </w:p>
        </w:tc>
      </w:tr>
      <w:tr>
        <w:trPr>
          <w:gridAfter w:val="1"/>
          <w:wAfter w:type="dxa" w:w="28"/>
        </w:trPr>
        <w:tc>
          <w:tcPr>
            <w:tcW w:type="dxa" w:w="533"/>
            <w:noWrap w:val="false"/>
            <w:textDirection w:val="lrTb"/>
          </w:tcPr>
          <w:p>
            <w:pPr>
              <w:numPr>
                <w:ilvl w:val="0"/>
                <w:numId w:val="6"/>
              </w:numPr>
              <w:ind w:left="426"/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</w:r>
            <w:r/>
          </w:p>
        </w:tc>
        <w:tc>
          <w:tcPr>
            <w:tcW w:type="dxa" w:w="9183"/>
            <w:shd w:fill="auto" w:color="auto" w:val="clear"/>
            <w:noWrap w:val="false"/>
            <w:textDirection w:val="lrTb"/>
          </w:tcPr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Р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уководство стажером-исследователем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(стажером)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* более трёх месяцев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:</w:t>
            </w:r>
            <w:r/>
          </w:p>
          <w:p>
            <w:pPr>
              <w:numPr>
                <w:ilvl w:val="0"/>
                <w:numId w:val="5"/>
              </w:num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являющимся студентом (аспирантом) НИУ ВШЭ,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который выполняет работу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в научном подразделении по ГПД или по трудовому договору</w:t>
            </w:r>
            <w:r/>
          </w:p>
          <w:p>
            <w:pPr>
              <w:numPr>
                <w:ilvl w:val="0"/>
                <w:numId w:val="5"/>
              </w:num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не являющимся студентом (аспирантом) НИУ ВШЭ, который выполняет работу в научном подразделении по трудовому договору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. </w:t>
            </w:r>
            <w:r/>
          </w:p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*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Один стажер может иметь только одного руководителя, получающего часы за руководство им.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Один сотрудник может руководить работой нескольких стажеров.</w:t>
            </w:r>
            <w:r/>
          </w:p>
        </w:tc>
        <w:tc>
          <w:tcPr>
            <w:tcW w:type="dxa" w:w="5103"/>
            <w:shd w:fill="auto" w:color="auto" w:val="clear"/>
            <w:noWrap w:val="false"/>
            <w:textDirection w:val="lrTb"/>
          </w:tcPr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50 часов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в год за одного стажера</w:t>
            </w:r>
            <w:r/>
          </w:p>
          <w:p>
            <w:pPr>
              <w:jc w:val="both"/>
              <w:rPr>
                <w:rFonts w:hAnsi="Times New Roman" w:ascii="Times New Roman"/>
                <w:sz w:val="26"/>
                <w:szCs w:val="26"/>
              </w:rPr>
            </w:pPr>
            <w:r>
              <w:rPr>
                <w:rFonts w:hAnsi="Times New Roman" w:ascii="Times New Roman"/>
                <w:sz w:val="26"/>
                <w:szCs w:val="26"/>
              </w:rPr>
              <w:t xml:space="preserve">В случае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,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если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стажер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работал в научном подразделении менее года, но не менее 3 месяцев, или если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ГПД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 заключен на срок менее года, но не менее 3 месяцев, то 50 часов уменьшаются пропорционально сроку работы или сроку действия 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ГПД</w:t>
            </w:r>
            <w:r>
              <w:rPr>
                <w:rFonts w:hAnsi="Times New Roman" w:ascii="Times New Roman"/>
                <w:sz w:val="26"/>
                <w:szCs w:val="26"/>
              </w:rPr>
              <w:t xml:space="preserve">.</w:t>
            </w:r>
            <w:r/>
          </w:p>
          <w:p>
            <w:pPr>
              <w:pStyle w:val="27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type w:val="nextPage"/>
      <w:pgSz w:orient="landscape" w:h="11906" w:w="16838"/>
      <w:pgMar w:gutter="0" w:footer="708" w:header="708" w:left="1134" w:bottom="850" w:right="680" w:top="1701"/>
      <w:cols w:sep="false" w:num="1" w:space="708" w:equalWidth="true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onsolas">
    <w:panose1 w:val="020B0609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6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2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"/>
      <w:lvlJc w:val="left"/>
      <w:pPr>
        <w:ind w:left="0" w:hanging="0"/>
        <w:tabs>
          <w:tab w:val="left" w:pos="0" w:leader="none"/>
        </w:tabs>
      </w:pPr>
      <w:rPr>
        <w:rFonts w:ascii="Symbol" w:hAnsi="Symbol" w:hint="default"/>
      </w:rPr>
    </w:lvl>
    <w:lvl w:ilvl="1">
      <w:start w:val="1"/>
      <w:numFmt w:val="bullet"/>
      <w:suff w:val="tab"/>
      <w:lvlText w:val=""/>
      <w:lvlJc w:val="left"/>
      <w:pPr>
        <w:ind w:left="1080" w:hanging="357"/>
        <w:tabs>
          <w:tab w:val="left" w:pos="720" w:leader="none"/>
        </w:tabs>
      </w:pPr>
      <w:rPr>
        <w:rFonts w:ascii="Symbol" w:hAnsi="Symbol" w:hint="default"/>
      </w:rPr>
    </w:lvl>
    <w:lvl w:ilvl="2">
      <w:start w:val="1"/>
      <w:numFmt w:val="bullet"/>
      <w:suff w:val="tab"/>
      <w:lvlText w:val="o"/>
      <w:lvlJc w:val="left"/>
      <w:pPr>
        <w:ind w:left="1800" w:hanging="357"/>
        <w:tabs>
          <w:tab w:val="left" w:pos="1440" w:leader="none"/>
        </w:tabs>
      </w:pPr>
      <w:rPr>
        <w:rFonts w:ascii="Courier New" w:hAnsi="Courier New" w:cs="Courier New" w:hint="default"/>
      </w:rPr>
    </w:lvl>
    <w:lvl w:ilvl="3">
      <w:start w:val="1"/>
      <w:numFmt w:val="bullet"/>
      <w:suff w:val="tab"/>
      <w:lvlText w:val=""/>
      <w:lvlJc w:val="left"/>
      <w:pPr>
        <w:ind w:left="2520" w:hanging="357"/>
        <w:tabs>
          <w:tab w:val="left" w:pos="2160" w:leader="none"/>
        </w:tabs>
      </w:pPr>
      <w:rPr>
        <w:rFonts w:ascii="Wingdings" w:hAnsi="Wingdings" w:hint="default"/>
      </w:rPr>
    </w:lvl>
    <w:lvl w:ilvl="4">
      <w:start w:val="1"/>
      <w:numFmt w:val="bullet"/>
      <w:suff w:val="tab"/>
      <w:lvlText w:val=""/>
      <w:lvlJc w:val="left"/>
      <w:pPr>
        <w:ind w:left="3240" w:hanging="357"/>
        <w:tabs>
          <w:tab w:val="left" w:pos="2880" w:leader="none"/>
        </w:tabs>
      </w:pPr>
      <w:rPr>
        <w:rFonts w:ascii="Wingdings" w:hAnsi="Wingdings" w:hint="default"/>
      </w:rPr>
    </w:lvl>
    <w:lvl w:ilvl="5">
      <w:start w:val="1"/>
      <w:numFmt w:val="bullet"/>
      <w:suff w:val="tab"/>
      <w:lvlText w:val=""/>
      <w:lvlJc w:val="left"/>
      <w:pPr>
        <w:ind w:left="3960" w:hanging="357"/>
        <w:tabs>
          <w:tab w:val="left" w:pos="3600" w:leader="none"/>
        </w:tabs>
      </w:pPr>
      <w:rPr>
        <w:rFonts w:ascii="Symbol" w:hAnsi="Symbol" w:hint="default"/>
      </w:rPr>
    </w:lvl>
    <w:lvl w:ilvl="6">
      <w:start w:val="1"/>
      <w:numFmt w:val="bullet"/>
      <w:suff w:val="tab"/>
      <w:lvlText w:val="o"/>
      <w:lvlJc w:val="left"/>
      <w:pPr>
        <w:ind w:left="4680" w:hanging="357"/>
        <w:tabs>
          <w:tab w:val="left" w:pos="4320" w:leader="none"/>
        </w:tabs>
      </w:pPr>
      <w:rPr>
        <w:rFonts w:ascii="Courier New" w:hAnsi="Courier New" w:cs="Courier New" w:hint="default"/>
      </w:rPr>
    </w:lvl>
    <w:lvl w:ilvl="7">
      <w:start w:val="1"/>
      <w:numFmt w:val="bullet"/>
      <w:suff w:val="tab"/>
      <w:lvlText w:val=""/>
      <w:lvlJc w:val="left"/>
      <w:pPr>
        <w:ind w:left="5400" w:hanging="357"/>
        <w:tabs>
          <w:tab w:val="left" w:pos="5040" w:leader="none"/>
        </w:tabs>
      </w:pPr>
      <w:rPr>
        <w:rFonts w:ascii="Wingdings" w:hAnsi="Wingdings" w:hint="default"/>
      </w:rPr>
    </w:lvl>
    <w:lvl w:ilvl="8">
      <w:start w:val="1"/>
      <w:numFmt w:val="bullet"/>
      <w:suff w:val="tab"/>
      <w:lvlText w:val=""/>
      <w:lvlJc w:val="left"/>
      <w:pPr>
        <w:ind w:left="6120" w:hanging="357"/>
        <w:tabs>
          <w:tab w:val="left" w:pos="5760" w:leader="none"/>
        </w:tabs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suff w:val="tab"/>
      <w:lvlText w:val=""/>
      <w:lvlJc w:val="left"/>
      <w:pPr>
        <w:ind w:left="720" w:hanging="357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7"/>
      </w:pPr>
      <w:rPr>
        <w:rFonts w:ascii="Courier New" w:hAnsi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7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7"/>
      </w:pPr>
      <w:rPr>
        <w:rFonts w:ascii="Courier New" w:hAnsi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7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7"/>
      </w:pPr>
      <w:rPr>
        <w:rFonts w:ascii="Courier New" w:hAnsi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ind w:left="2160" w:hanging="177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57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600" w:hanging="357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ind w:left="4320" w:hanging="177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57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760" w:hanging="357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ind w:left="6480" w:hanging="177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ind w:left="2160" w:hanging="177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57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600" w:hanging="357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ind w:left="4320" w:hanging="177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57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760" w:hanging="357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ind w:left="6480" w:hanging="177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ind w:left="2160" w:hanging="177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57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600" w:hanging="357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ind w:left="4320" w:hanging="177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57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760" w:hanging="357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ind w:left="6480" w:hanging="177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90">
    <w:name w:val="Heading 1"/>
    <w:basedOn w:val="254"/>
    <w:next w:val="254"/>
    <w:link w:val="1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91">
    <w:name w:val="Heading 1 Char"/>
    <w:basedOn w:val="256"/>
    <w:link w:val="190"/>
    <w:uiPriority w:val="9"/>
    <w:rPr>
      <w:rFonts w:ascii="Arial" w:hAnsi="Arial" w:cs="Arial" w:eastAsia="Arial"/>
      <w:sz w:val="40"/>
      <w:szCs w:val="40"/>
    </w:rPr>
  </w:style>
  <w:style w:type="character" w:styleId="192">
    <w:name w:val="Heading 2 Char"/>
    <w:basedOn w:val="256"/>
    <w:link w:val="255"/>
    <w:uiPriority w:val="9"/>
    <w:rPr>
      <w:rFonts w:ascii="Arial" w:hAnsi="Arial" w:cs="Arial" w:eastAsia="Arial"/>
      <w:sz w:val="34"/>
    </w:rPr>
  </w:style>
  <w:style w:type="paragraph" w:styleId="193">
    <w:name w:val="Heading 3"/>
    <w:basedOn w:val="254"/>
    <w:next w:val="254"/>
    <w:link w:val="19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94">
    <w:name w:val="Heading 3 Char"/>
    <w:basedOn w:val="256"/>
    <w:link w:val="193"/>
    <w:uiPriority w:val="9"/>
    <w:rPr>
      <w:rFonts w:ascii="Arial" w:hAnsi="Arial" w:cs="Arial" w:eastAsia="Arial"/>
      <w:sz w:val="30"/>
      <w:szCs w:val="30"/>
    </w:rPr>
  </w:style>
  <w:style w:type="paragraph" w:styleId="195">
    <w:name w:val="Heading 4"/>
    <w:basedOn w:val="254"/>
    <w:next w:val="254"/>
    <w:link w:val="19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96">
    <w:name w:val="Heading 4 Char"/>
    <w:basedOn w:val="256"/>
    <w:link w:val="195"/>
    <w:uiPriority w:val="9"/>
    <w:rPr>
      <w:rFonts w:ascii="Arial" w:hAnsi="Arial" w:cs="Arial" w:eastAsia="Arial"/>
      <w:b/>
      <w:bCs/>
      <w:sz w:val="26"/>
      <w:szCs w:val="26"/>
    </w:rPr>
  </w:style>
  <w:style w:type="paragraph" w:styleId="197">
    <w:name w:val="Heading 5"/>
    <w:basedOn w:val="254"/>
    <w:next w:val="254"/>
    <w:link w:val="19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198">
    <w:name w:val="Heading 5 Char"/>
    <w:basedOn w:val="256"/>
    <w:link w:val="197"/>
    <w:uiPriority w:val="9"/>
    <w:rPr>
      <w:rFonts w:ascii="Arial" w:hAnsi="Arial" w:cs="Arial" w:eastAsia="Arial"/>
      <w:b/>
      <w:bCs/>
      <w:sz w:val="24"/>
      <w:szCs w:val="24"/>
    </w:rPr>
  </w:style>
  <w:style w:type="paragraph" w:styleId="199">
    <w:name w:val="Heading 6"/>
    <w:basedOn w:val="254"/>
    <w:next w:val="254"/>
    <w:link w:val="20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00">
    <w:name w:val="Heading 6 Char"/>
    <w:basedOn w:val="256"/>
    <w:link w:val="199"/>
    <w:uiPriority w:val="9"/>
    <w:rPr>
      <w:rFonts w:ascii="Arial" w:hAnsi="Arial" w:cs="Arial" w:eastAsia="Arial"/>
      <w:b/>
      <w:bCs/>
      <w:sz w:val="22"/>
      <w:szCs w:val="22"/>
    </w:rPr>
  </w:style>
  <w:style w:type="paragraph" w:styleId="201">
    <w:name w:val="Heading 7"/>
    <w:basedOn w:val="254"/>
    <w:next w:val="254"/>
    <w:link w:val="20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02">
    <w:name w:val="Heading 7 Char"/>
    <w:basedOn w:val="256"/>
    <w:link w:val="20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03">
    <w:name w:val="Heading 8"/>
    <w:basedOn w:val="254"/>
    <w:next w:val="254"/>
    <w:link w:val="20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04">
    <w:name w:val="Heading 8 Char"/>
    <w:basedOn w:val="256"/>
    <w:link w:val="203"/>
    <w:uiPriority w:val="9"/>
    <w:rPr>
      <w:rFonts w:ascii="Arial" w:hAnsi="Arial" w:cs="Arial" w:eastAsia="Arial"/>
      <w:i/>
      <w:iCs/>
      <w:sz w:val="22"/>
      <w:szCs w:val="22"/>
    </w:rPr>
  </w:style>
  <w:style w:type="paragraph" w:styleId="205">
    <w:name w:val="Heading 9"/>
    <w:basedOn w:val="254"/>
    <w:next w:val="254"/>
    <w:link w:val="20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06">
    <w:name w:val="Heading 9 Char"/>
    <w:basedOn w:val="256"/>
    <w:link w:val="205"/>
    <w:uiPriority w:val="9"/>
    <w:rPr>
      <w:rFonts w:ascii="Arial" w:hAnsi="Arial" w:cs="Arial" w:eastAsia="Arial"/>
      <w:i/>
      <w:iCs/>
      <w:sz w:val="21"/>
      <w:szCs w:val="21"/>
    </w:rPr>
  </w:style>
  <w:style w:type="paragraph" w:styleId="207">
    <w:name w:val="List Paragraph"/>
    <w:basedOn w:val="254"/>
    <w:qFormat/>
    <w:uiPriority w:val="34"/>
    <w:pPr>
      <w:contextualSpacing w:val="true"/>
      <w:ind w:left="720"/>
    </w:pPr>
  </w:style>
  <w:style w:type="paragraph" w:styleId="208">
    <w:name w:val="No Spacing"/>
    <w:qFormat/>
    <w:uiPriority w:val="1"/>
    <w:pPr>
      <w:spacing w:lineRule="auto" w:line="240" w:after="0" w:before="0"/>
    </w:pPr>
  </w:style>
  <w:style w:type="paragraph" w:styleId="209">
    <w:name w:val="Title"/>
    <w:basedOn w:val="254"/>
    <w:next w:val="254"/>
    <w:link w:val="21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210">
    <w:name w:val="Title Char"/>
    <w:basedOn w:val="256"/>
    <w:link w:val="209"/>
    <w:uiPriority w:val="10"/>
    <w:rPr>
      <w:sz w:val="48"/>
      <w:szCs w:val="48"/>
    </w:rPr>
  </w:style>
  <w:style w:type="paragraph" w:styleId="211">
    <w:name w:val="Subtitle"/>
    <w:basedOn w:val="254"/>
    <w:next w:val="254"/>
    <w:link w:val="212"/>
    <w:qFormat/>
    <w:uiPriority w:val="11"/>
    <w:rPr>
      <w:sz w:val="24"/>
      <w:szCs w:val="24"/>
    </w:rPr>
    <w:pPr>
      <w:spacing w:after="200" w:before="200"/>
    </w:pPr>
  </w:style>
  <w:style w:type="character" w:styleId="212">
    <w:name w:val="Subtitle Char"/>
    <w:basedOn w:val="256"/>
    <w:link w:val="211"/>
    <w:uiPriority w:val="11"/>
    <w:rPr>
      <w:sz w:val="24"/>
      <w:szCs w:val="24"/>
    </w:rPr>
  </w:style>
  <w:style w:type="paragraph" w:styleId="213">
    <w:name w:val="Quote"/>
    <w:basedOn w:val="254"/>
    <w:next w:val="254"/>
    <w:link w:val="214"/>
    <w:qFormat/>
    <w:uiPriority w:val="29"/>
    <w:rPr>
      <w:i/>
    </w:rPr>
    <w:pPr>
      <w:ind w:left="720" w:right="720"/>
    </w:pPr>
  </w:style>
  <w:style w:type="character" w:styleId="214">
    <w:name w:val="Quote Char"/>
    <w:link w:val="213"/>
    <w:uiPriority w:val="29"/>
    <w:rPr>
      <w:i/>
    </w:rPr>
  </w:style>
  <w:style w:type="paragraph" w:styleId="215">
    <w:name w:val="Intense Quote"/>
    <w:basedOn w:val="254"/>
    <w:next w:val="254"/>
    <w:link w:val="21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16">
    <w:name w:val="Intense Quote Char"/>
    <w:link w:val="215"/>
    <w:uiPriority w:val="30"/>
    <w:rPr>
      <w:i/>
    </w:rPr>
  </w:style>
  <w:style w:type="character" w:styleId="217">
    <w:name w:val="Header Char"/>
    <w:basedOn w:val="256"/>
    <w:link w:val="263"/>
    <w:uiPriority w:val="99"/>
  </w:style>
  <w:style w:type="character" w:styleId="218">
    <w:name w:val="Footer Char"/>
    <w:basedOn w:val="256"/>
    <w:link w:val="265"/>
    <w:uiPriority w:val="99"/>
  </w:style>
  <w:style w:type="table" w:styleId="219">
    <w:name w:val="Lined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20">
    <w:name w:val="Lined - Accent 1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21">
    <w:name w:val="Lined - Accent 2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22">
    <w:name w:val="Lined - Accent 3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23">
    <w:name w:val="Lined - Accent 4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24">
    <w:name w:val="Lined - Accent 5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25">
    <w:name w:val="Lined - Accent 6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26">
    <w:name w:val="Bordered"/>
    <w:basedOn w:val="2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27">
    <w:name w:val="Bordered - Accent 1"/>
    <w:basedOn w:val="2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28">
    <w:name w:val="Bordered - Accent 2"/>
    <w:basedOn w:val="2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29">
    <w:name w:val="Bordered - Accent 3"/>
    <w:basedOn w:val="2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30">
    <w:name w:val="Bordered - Accent 4"/>
    <w:basedOn w:val="2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31">
    <w:name w:val="Bordered - Accent 5"/>
    <w:basedOn w:val="2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32">
    <w:name w:val="Bordered - Accent 6"/>
    <w:basedOn w:val="2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33">
    <w:name w:val="Bordered &amp; Lined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34">
    <w:name w:val="Bordered &amp; Lined - Accent 1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35">
    <w:name w:val="Bordered &amp; Lined - Accent 2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36">
    <w:name w:val="Bordered &amp; Lined - Accent 3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37">
    <w:name w:val="Bordered &amp; Lined - Accent 4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38">
    <w:name w:val="Bordered &amp; Lined - Accent 5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39">
    <w:name w:val="Bordered &amp; Lined - Accent 6"/>
    <w:basedOn w:val="2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40">
    <w:name w:val="Hyperlink"/>
    <w:uiPriority w:val="99"/>
    <w:unhideWhenUsed/>
    <w:rPr>
      <w:color w:val="0000FF" w:themeColor="hyperlink"/>
      <w:u w:val="single"/>
    </w:rPr>
  </w:style>
  <w:style w:type="paragraph" w:styleId="241">
    <w:name w:val="footnote text"/>
    <w:basedOn w:val="254"/>
    <w:link w:val="242"/>
    <w:uiPriority w:val="99"/>
    <w:semiHidden/>
    <w:unhideWhenUsed/>
    <w:rPr>
      <w:sz w:val="18"/>
    </w:rPr>
    <w:pPr>
      <w:spacing w:lineRule="auto" w:line="240" w:after="40"/>
    </w:pPr>
  </w:style>
  <w:style w:type="character" w:styleId="242">
    <w:name w:val="Footnote Text Char"/>
    <w:link w:val="241"/>
    <w:uiPriority w:val="99"/>
    <w:rPr>
      <w:sz w:val="18"/>
    </w:rPr>
  </w:style>
  <w:style w:type="character" w:styleId="243">
    <w:name w:val="footnote reference"/>
    <w:basedOn w:val="256"/>
    <w:uiPriority w:val="99"/>
    <w:unhideWhenUsed/>
    <w:rPr>
      <w:vertAlign w:val="superscript"/>
    </w:rPr>
  </w:style>
  <w:style w:type="paragraph" w:styleId="244">
    <w:name w:val="toc 1"/>
    <w:basedOn w:val="254"/>
    <w:next w:val="254"/>
    <w:uiPriority w:val="39"/>
    <w:unhideWhenUsed/>
    <w:pPr>
      <w:ind w:left="0" w:right="0" w:hanging="0"/>
      <w:spacing w:after="57"/>
    </w:pPr>
  </w:style>
  <w:style w:type="paragraph" w:styleId="245">
    <w:name w:val="toc 2"/>
    <w:basedOn w:val="254"/>
    <w:next w:val="254"/>
    <w:uiPriority w:val="39"/>
    <w:unhideWhenUsed/>
    <w:pPr>
      <w:ind w:left="283" w:right="0" w:hanging="0"/>
      <w:spacing w:after="57"/>
    </w:pPr>
  </w:style>
  <w:style w:type="paragraph" w:styleId="246">
    <w:name w:val="toc 3"/>
    <w:basedOn w:val="254"/>
    <w:next w:val="254"/>
    <w:uiPriority w:val="39"/>
    <w:unhideWhenUsed/>
    <w:pPr>
      <w:ind w:left="567" w:right="0" w:hanging="0"/>
      <w:spacing w:after="57"/>
    </w:pPr>
  </w:style>
  <w:style w:type="paragraph" w:styleId="247">
    <w:name w:val="toc 4"/>
    <w:basedOn w:val="254"/>
    <w:next w:val="254"/>
    <w:uiPriority w:val="39"/>
    <w:unhideWhenUsed/>
    <w:pPr>
      <w:ind w:left="850" w:right="0" w:hanging="0"/>
      <w:spacing w:after="57"/>
    </w:pPr>
  </w:style>
  <w:style w:type="paragraph" w:styleId="248">
    <w:name w:val="toc 5"/>
    <w:basedOn w:val="254"/>
    <w:next w:val="254"/>
    <w:uiPriority w:val="39"/>
    <w:unhideWhenUsed/>
    <w:pPr>
      <w:ind w:left="1134" w:right="0" w:hanging="0"/>
      <w:spacing w:after="57"/>
    </w:pPr>
  </w:style>
  <w:style w:type="paragraph" w:styleId="249">
    <w:name w:val="toc 6"/>
    <w:basedOn w:val="254"/>
    <w:next w:val="254"/>
    <w:uiPriority w:val="39"/>
    <w:unhideWhenUsed/>
    <w:pPr>
      <w:ind w:left="1417" w:right="0" w:hanging="0"/>
      <w:spacing w:after="57"/>
    </w:pPr>
  </w:style>
  <w:style w:type="paragraph" w:styleId="250">
    <w:name w:val="toc 7"/>
    <w:basedOn w:val="254"/>
    <w:next w:val="254"/>
    <w:uiPriority w:val="39"/>
    <w:unhideWhenUsed/>
    <w:pPr>
      <w:ind w:left="1701" w:right="0" w:hanging="0"/>
      <w:spacing w:after="57"/>
    </w:pPr>
  </w:style>
  <w:style w:type="paragraph" w:styleId="251">
    <w:name w:val="toc 8"/>
    <w:basedOn w:val="254"/>
    <w:next w:val="254"/>
    <w:uiPriority w:val="39"/>
    <w:unhideWhenUsed/>
    <w:pPr>
      <w:ind w:left="1984" w:right="0" w:hanging="0"/>
      <w:spacing w:after="57"/>
    </w:pPr>
  </w:style>
  <w:style w:type="paragraph" w:styleId="252">
    <w:name w:val="toc 9"/>
    <w:basedOn w:val="254"/>
    <w:next w:val="254"/>
    <w:uiPriority w:val="39"/>
    <w:unhideWhenUsed/>
    <w:pPr>
      <w:ind w:left="2268" w:right="0" w:hanging="0"/>
      <w:spacing w:after="57"/>
    </w:pPr>
  </w:style>
  <w:style w:type="paragraph" w:styleId="253">
    <w:name w:val="TOC Heading"/>
    <w:uiPriority w:val="39"/>
    <w:unhideWhenUsed/>
  </w:style>
  <w:style w:type="paragraph" w:styleId="254" w:default="1">
    <w:name w:val="Normal"/>
    <w:qFormat/>
    <w:rPr>
      <w:rFonts w:eastAsia="Times New Roman"/>
      <w:sz w:val="22"/>
      <w:szCs w:val="22"/>
      <w:lang w:eastAsia="en-US"/>
    </w:rPr>
    <w:pPr>
      <w:spacing w:lineRule="auto" w:line="276" w:after="200"/>
    </w:pPr>
  </w:style>
  <w:style w:type="paragraph" w:styleId="255">
    <w:name w:val="Heading 2"/>
    <w:basedOn w:val="254"/>
    <w:next w:val="254"/>
    <w:link w:val="262"/>
    <w:qFormat/>
    <w:rPr>
      <w:rFonts w:ascii="Cambria" w:hAnsi="Cambria" w:eastAsia="Calibri"/>
      <w:b/>
      <w:bCs/>
      <w:color w:val="4F81BD"/>
      <w:sz w:val="26"/>
      <w:szCs w:val="26"/>
    </w:rPr>
    <w:pPr>
      <w:keepLines/>
      <w:keepNext/>
      <w:spacing w:after="0" w:before="200"/>
      <w:outlineLvl w:val="1"/>
    </w:pPr>
  </w:style>
  <w:style w:type="character" w:styleId="256" w:default="1">
    <w:name w:val="Default Paragraph Font"/>
    <w:uiPriority w:val="1"/>
    <w:semiHidden/>
    <w:unhideWhenUsed/>
  </w:style>
  <w:style w:type="table" w:styleId="2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58" w:default="1">
    <w:name w:val="No List"/>
    <w:uiPriority w:val="99"/>
    <w:semiHidden/>
    <w:unhideWhenUsed/>
  </w:style>
  <w:style w:type="paragraph" w:styleId="259">
    <w:name w:val="Balloon Text"/>
    <w:basedOn w:val="254"/>
    <w:link w:val="272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table" w:styleId="260">
    <w:name w:val="Table Grid"/>
    <w:basedOn w:val="257"/>
    <w:rPr>
      <w:rFonts w:eastAsia="Times New Roman"/>
    </w:r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261" w:customStyle="1">
    <w:name w:val="Абзац списка1"/>
    <w:basedOn w:val="254"/>
    <w:pPr>
      <w:contextualSpacing w:val="true"/>
      <w:ind w:left="720"/>
    </w:pPr>
  </w:style>
  <w:style w:type="character" w:styleId="262" w:customStyle="1">
    <w:name w:val="Заголовок 2 Знак"/>
    <w:link w:val="255"/>
    <w:rPr>
      <w:rFonts w:ascii="Cambria" w:hAnsi="Cambria" w:cs="Times New Roman"/>
      <w:b/>
      <w:bCs/>
      <w:color w:val="4F81BD"/>
      <w:sz w:val="26"/>
      <w:szCs w:val="26"/>
    </w:rPr>
  </w:style>
  <w:style w:type="paragraph" w:styleId="263">
    <w:name w:val="Header"/>
    <w:basedOn w:val="254"/>
    <w:link w:val="264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264" w:customStyle="1">
    <w:name w:val="Верхний колонтитул Знак"/>
    <w:link w:val="263"/>
    <w:rPr>
      <w:rFonts w:cs="Times New Roman"/>
    </w:rPr>
  </w:style>
  <w:style w:type="paragraph" w:styleId="265">
    <w:name w:val="Footer"/>
    <w:basedOn w:val="254"/>
    <w:link w:val="266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266" w:customStyle="1">
    <w:name w:val="Нижний колонтитул Знак"/>
    <w:link w:val="265"/>
    <w:rPr>
      <w:rFonts w:cs="Times New Roman"/>
    </w:rPr>
  </w:style>
  <w:style w:type="character" w:styleId="267">
    <w:name w:val="annotation reference"/>
    <w:semiHidden/>
    <w:rPr>
      <w:rFonts w:cs="Times New Roman"/>
      <w:sz w:val="16"/>
      <w:szCs w:val="16"/>
    </w:rPr>
  </w:style>
  <w:style w:type="paragraph" w:styleId="268">
    <w:name w:val="annotation text"/>
    <w:basedOn w:val="254"/>
    <w:link w:val="269"/>
    <w:semiHidden/>
    <w:rPr>
      <w:sz w:val="20"/>
      <w:szCs w:val="20"/>
    </w:rPr>
    <w:pPr>
      <w:spacing w:lineRule="auto" w:line="240"/>
    </w:pPr>
  </w:style>
  <w:style w:type="character" w:styleId="269" w:customStyle="1">
    <w:name w:val="Текст примечания Знак"/>
    <w:link w:val="268"/>
    <w:semiHidden/>
    <w:rPr>
      <w:rFonts w:cs="Times New Roman"/>
      <w:sz w:val="20"/>
      <w:szCs w:val="20"/>
    </w:rPr>
  </w:style>
  <w:style w:type="paragraph" w:styleId="270">
    <w:name w:val="annotation subject"/>
    <w:basedOn w:val="268"/>
    <w:next w:val="268"/>
    <w:link w:val="271"/>
    <w:semiHidden/>
    <w:rPr>
      <w:b/>
      <w:bCs/>
    </w:rPr>
  </w:style>
  <w:style w:type="character" w:styleId="271" w:customStyle="1">
    <w:name w:val="Тема примечания Знак"/>
    <w:link w:val="270"/>
    <w:semiHidden/>
    <w:rPr>
      <w:rFonts w:cs="Times New Roman"/>
      <w:b/>
      <w:bCs/>
      <w:sz w:val="20"/>
      <w:szCs w:val="20"/>
    </w:rPr>
  </w:style>
  <w:style w:type="character" w:styleId="272" w:customStyle="1">
    <w:name w:val="Текст выноски Знак"/>
    <w:link w:val="259"/>
    <w:semiHidden/>
    <w:rPr>
      <w:rFonts w:ascii="Tahoma" w:hAnsi="Tahoma" w:cs="Tahoma"/>
      <w:sz w:val="16"/>
      <w:szCs w:val="16"/>
    </w:rPr>
  </w:style>
  <w:style w:type="paragraph" w:styleId="273" w:customStyle="1">
    <w:name w:val="Рецензия1"/>
    <w:hidden/>
    <w:semiHidden/>
    <w:rPr>
      <w:rFonts w:eastAsia="Times New Roman"/>
      <w:sz w:val="22"/>
      <w:szCs w:val="22"/>
      <w:lang w:eastAsia="en-US"/>
    </w:rPr>
  </w:style>
  <w:style w:type="paragraph" w:styleId="274">
    <w:name w:val="Plain Text"/>
    <w:basedOn w:val="254"/>
    <w:link w:val="275"/>
    <w:uiPriority w:val="99"/>
    <w:unhideWhenUsed/>
    <w:rPr>
      <w:rFonts w:ascii="Times New Roman" w:hAnsi="Times New Roman" w:cs="Consolas" w:eastAsia="Calibri"/>
      <w:szCs w:val="21"/>
    </w:rPr>
    <w:pPr>
      <w:spacing w:lineRule="auto" w:line="240" w:after="0"/>
    </w:pPr>
  </w:style>
  <w:style w:type="character" w:styleId="275" w:customStyle="1">
    <w:name w:val="Текст Знак"/>
    <w:link w:val="274"/>
    <w:uiPriority w:val="99"/>
    <w:rPr>
      <w:rFonts w:ascii="Times New Roman" w:hAnsi="Times New Roman" w:cs="Consolas"/>
      <w:sz w:val="22"/>
      <w:szCs w:val="21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styles" Target="styles.xml"/>
    <Relationship Id="rId2" Type="http://schemas.openxmlformats.org/officeDocument/2006/relationships/settings" Target="settings.xml"/>
    <Relationship Id="rId3" Type="http://schemas.openxmlformats.org/officeDocument/2006/relationships/webSettings" Target="webSettings.xml"/>
    <Relationship Id="rId4" Type="http://schemas.openxmlformats.org/officeDocument/2006/relationships/fontTable" Target="fontTable.xml"/>
    <Relationship Id="rId5" Type="http://schemas.openxmlformats.org/officeDocument/2006/relationships/theme" Target="theme/theme1.xml"/>
    <Relationship Id="rId6" Type="http://schemas.openxmlformats.org/officeDocument/2006/relationships/numbering" Target="numbering.xml"/>
    <Relationship Id="rId7" Type="http://schemas.openxmlformats.org/officeDocument/2006/relationships/footnotes" Target="footnotes.xml"/>
    <Relationship Id="rId8" Type="http://schemas.openxmlformats.org/officeDocument/2006/relationships/header" Target="header1.xml"/>
</Relationships>
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creator" pid="2" fmtid="{D5CDD505-2E9C-101B-9397-08002B2CF9AE}">
    <vt:lpwstr>Чекмарева Т.А.</vt:lpwstr>
  </prop:property>
  <prop:property name="signerIof" pid="3" fmtid="{D5CDD505-2E9C-101B-9397-08002B2CF9AE}">
    <vt:lpwstr>Я.И. Кузьминов</vt:lpwstr>
  </prop:property>
  <prop:property name="creatorDepartment" pid="4" fmtid="{D5CDD505-2E9C-101B-9397-08002B2CF9AE}">
    <vt:lpwstr>Управление организации уч</vt:lpwstr>
  </prop:property>
  <prop:property name="accessLevel" pid="5" fmtid="{D5CDD505-2E9C-101B-9397-08002B2CF9AE}">
    <vt:lpwstr>Ограниченный</vt:lpwstr>
  </prop:property>
  <prop:property name="actuality" pid="6" fmtid="{D5CDD505-2E9C-101B-9397-08002B2CF9AE}">
    <vt:lpwstr>Проект</vt:lpwstr>
  </prop:property>
  <prop:property name="documentType" pid="7" fmtid="{D5CDD505-2E9C-101B-9397-08002B2CF9AE}">
    <vt:lpwstr>По основной деятельности</vt:lpwstr>
  </prop:property>
  <prop:property name="regnumProj" pid="8" fmtid="{D5CDD505-2E9C-101B-9397-08002B2CF9AE}">
    <vt:lpwstr>М 2020/4/17-517</vt:lpwstr>
  </prop:property>
  <prop:property name="stateValue" pid="9" fmtid="{D5CDD505-2E9C-101B-9397-08002B2CF9AE}">
    <vt:lpwstr>На доработке</vt:lpwstr>
  </prop:property>
  <prop:property name="docTitle" pid="10" fmtid="{D5CDD505-2E9C-101B-9397-08002B2CF9AE}">
    <vt:lpwstr>Приказ</vt:lpwstr>
  </prop:property>
  <prop:property name="signerLabel" pid="11" fmtid="{D5CDD505-2E9C-101B-9397-08002B2CF9AE}">
    <vt:lpwstr> Ректор Кузьминов Я.И.</vt:lpwstr>
  </prop:property>
  <prop:property name="documentContent" pid="12" fmtid="{D5CDD505-2E9C-101B-9397-08002B2CF9AE}">
    <vt:lpwstr>Об утверждении локальных нормативных актов, регулирующих планирование и учет объема учебной нагрузки научно-педагогических работников Национального исследовательского университета «Высшая школа экономики» на 2020/2021 учебный год
</vt:lpwstr>
  </prop:property>
  <prop:property name="creatorPost" pid="13" fmtid="{D5CDD505-2E9C-101B-9397-08002B2CF9AE}">
    <vt:lpwstr>Главный эксперт</vt:lpwstr>
  </prop:property>
  <prop:property name="signerName" pid="14" fmtid="{D5CDD505-2E9C-101B-9397-08002B2CF9AE}">
    <vt:lpwstr>Кузьминов Я.И.</vt:lpwstr>
  </prop:property>
  <prop:property name="signerNameAndPostName" pid="15" fmtid="{D5CDD505-2E9C-101B-9397-08002B2CF9AE}">
    <vt:lpwstr>Кузьминов Я.И., Ректор</vt:lpwstr>
  </prop:property>
  <prop:property name="signerPost" pid="16" fmtid="{D5CDD505-2E9C-101B-9397-08002B2CF9AE}">
    <vt:lpwstr>Ректор</vt:lpwstr>
  </prop:property>
  <prop:property name="documentSubtype" pid="17" fmtid="{D5CDD505-2E9C-101B-9397-08002B2CF9AE}">
    <vt:lpwstr>Об утверждении и введении в действие локальных актов</vt:lpwstr>
  </prop:property>
  <prop:property name="docStatus" pid="18" fmtid="{D5CDD505-2E9C-101B-9397-08002B2CF9AE}">
    <vt:lpwstr>NOT_CONTROLLED</vt:lpwstr>
  </prop:property>
  <prop:property name="signerExtraDelegates" pid="19" fmtid="{D5CDD505-2E9C-101B-9397-08002B2CF9AE}">
    <vt:lpwstr> Ректор</vt:lpwstr>
  </prop:property>
  <prop:property name="mainDocSheetsCount" pid="20" fmtid="{D5CDD505-2E9C-101B-9397-08002B2CF9AE}">
    <vt:lpwstr>1</vt:lpwstr>
  </prop:property>
  <prop:property name="controlLabel" pid="21" fmtid="{D5CDD505-2E9C-101B-9397-08002B2CF9AE}">
    <vt:lpwstr>не осуществляется</vt:lpwstr>
  </prop:property>
  <prop:property name="signerDelegates" pid="22" fmtid="{D5CDD505-2E9C-101B-9397-08002B2CF9AE}">
    <vt:lpwstr>Кузьминов Я.И.</vt:lpwstr>
  </prop:property>
</prop:Properties>
</file>