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REFERENCE JAXB in Oracle Java 1.8.0_192 on Linux -->
    <w:p>
      <w:pPr>
        <w:spacing w:lineRule="auto" w:line="240" w:after="0"/>
        <w:ind w:left="10490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Приложение 2</w:t>
      </w:r>
      <w:r/>
    </w:p>
    <w:p>
      <w:pPr>
        <w:spacing w:lineRule="auto" w:line="240" w:after="0"/>
        <w:ind w:left="10490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>
        <w:rPr>
          <w:rFonts w:hAnsi="Times New Roman" w:ascii="Times New Roman"/>
          <w:sz w:val="26"/>
          <w:szCs w:val="26"/>
        </w:rPr>
      </w:r>
    </w:p>
    <w:p>
      <w:pPr>
        <w:spacing w:lineRule="auto" w:line="240" w:after="0"/>
        <w:ind w:left="10490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УТВЕРЖДЕН</w:t>
      </w:r>
      <w:r/>
    </w:p>
    <w:p>
      <w:pPr>
        <w:spacing w:lineRule="auto" w:line="240" w:after="0"/>
        <w:ind w:left="10490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приказом НИУ ВШЭ</w:t>
      </w:r>
      <w:r/>
      <w:r>
        <w:rPr>
          <w:rFonts w:hAnsi="Times New Roman" w:ascii="Times New Roman"/>
          <w:sz w:val="26"/>
          <w:szCs w:val="26"/>
        </w:rPr>
      </w:r>
      <w:r/>
    </w:p>
    <w:p>
      <w:pPr>
        <w:shd w:fill="FFFFFF" w:color="auto" w:val="clear"/>
        <w:spacing w:lineRule="auto" w:line="240"/>
        <w:ind w:left="10490"/>
        <w:contextualSpacing w:val="true"/>
        <w:rPr>
          <w:rFonts w:hAnsi="Times New Roman" w:ascii="Times New Roman"/>
          <w:sz w:val="26"/>
          <w:szCs w:val="26"/>
          <w:lang w:val="en-US"/>
        </w:rPr>
      </w:pPr>
      <w:r>
        <w:rPr>
          <w:rFonts w:hAnsi="Times New Roman" w:ascii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hAnsi="Times New Roman" w:ascii="Times New Roman"/>
          <w:sz w:val="26"/>
          <w:szCs w:val="26"/>
        </w:rPr>
        <w:t xml:space="preserve">от</w:t>
      </w:r>
      <w:r>
        <w:rPr>
          <w:rFonts w:hAnsi="Times New Roman" w:ascii="Times New Roman"/>
          <w:sz w:val="26"/>
          <w:szCs w:val="26"/>
          <w:lang w:val="en-US"/>
        </w:rPr>
        <w:t xml:space="preserve">______</w:t>
      </w:r>
      <w:r>
        <w:rPr>
          <w:rFonts w:hAnsi="Times New Roman" w:ascii="Times New Roman"/>
          <w:sz w:val="26"/>
          <w:szCs w:val="26"/>
        </w:rPr>
        <w:t xml:space="preserve">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№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  <w:lang w:val="en-US"/>
        </w:rPr>
        <w:t xml:space="preserve">_____________</w:t>
      </w:r>
      <w:r/>
    </w:p>
    <w:p>
      <w:pPr>
        <w:spacing w:lineRule="auto" w:line="240" w:after="0"/>
        <w:ind w:left="5664"/>
        <w:jc w:val="right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ab/>
      </w:r>
      <w:r/>
    </w:p>
    <w:p>
      <w:pPr>
        <w:rPr>
          <w:rFonts w:hAnsi="Times New Roman" w:ascii="Times New Roman"/>
          <w:sz w:val="24"/>
        </w:rPr>
      </w:pPr>
      <w:r>
        <w:rPr>
          <w:rFonts w:hAnsi="Times New Roman" w:ascii="Times New Roman"/>
          <w:sz w:val="24"/>
        </w:rPr>
      </w:r>
      <w:r/>
    </w:p>
    <w:p>
      <w:pPr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П</w:t>
      </w:r>
      <w:r>
        <w:rPr>
          <w:rFonts w:hAnsi="Times New Roman" w:ascii="Times New Roman"/>
          <w:b/>
          <w:sz w:val="26"/>
          <w:szCs w:val="26"/>
        </w:rPr>
        <w:t xml:space="preserve">орядок</w:t>
      </w:r>
      <w:r>
        <w:rPr>
          <w:rFonts w:hAnsi="Times New Roman" w:ascii="Times New Roman"/>
          <w:b/>
          <w:sz w:val="26"/>
          <w:szCs w:val="26"/>
        </w:rPr>
        <w:t xml:space="preserve"> установления норм времени по видам контактной работы на одного обучающегося </w:t>
      </w:r>
      <w:r>
        <w:rPr>
          <w:rFonts w:hAnsi="Times New Roman" w:ascii="Times New Roman"/>
          <w:b/>
          <w:sz w:val="26"/>
          <w:szCs w:val="26"/>
        </w:rPr>
        <w:t xml:space="preserve">Национального исслед</w:t>
      </w:r>
      <w:r>
        <w:rPr>
          <w:rFonts w:hAnsi="Times New Roman" w:ascii="Times New Roman"/>
          <w:b/>
          <w:sz w:val="26"/>
          <w:szCs w:val="26"/>
        </w:rPr>
        <w:t xml:space="preserve">о</w:t>
      </w:r>
      <w:r>
        <w:rPr>
          <w:rFonts w:hAnsi="Times New Roman" w:ascii="Times New Roman"/>
          <w:b/>
          <w:sz w:val="26"/>
          <w:szCs w:val="26"/>
        </w:rPr>
        <w:t xml:space="preserve">вательско</w:t>
      </w:r>
      <w:r>
        <w:rPr>
          <w:rFonts w:hAnsi="Times New Roman" w:ascii="Times New Roman"/>
          <w:b/>
          <w:sz w:val="26"/>
          <w:szCs w:val="26"/>
        </w:rPr>
        <w:t xml:space="preserve">го</w:t>
      </w:r>
      <w:r>
        <w:rPr>
          <w:rFonts w:hAnsi="Times New Roman" w:ascii="Times New Roman"/>
          <w:b/>
          <w:sz w:val="26"/>
          <w:szCs w:val="26"/>
        </w:rPr>
        <w:t xml:space="preserve"> университет</w:t>
      </w:r>
      <w:r>
        <w:rPr>
          <w:rFonts w:hAnsi="Times New Roman" w:ascii="Times New Roman"/>
          <w:b/>
          <w:sz w:val="26"/>
          <w:szCs w:val="26"/>
        </w:rPr>
        <w:t xml:space="preserve">а «Высшая школа экономики»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на </w:t>
      </w:r>
      <w:r>
        <w:rPr>
          <w:rFonts w:hAnsi="Times New Roman" w:ascii="Times New Roman"/>
          <w:b/>
          <w:sz w:val="26"/>
          <w:szCs w:val="26"/>
        </w:rPr>
        <w:t xml:space="preserve">20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b/>
          <w:sz w:val="26"/>
          <w:szCs w:val="26"/>
        </w:rPr>
        <w:t xml:space="preserve">/</w:t>
      </w:r>
      <w:r>
        <w:rPr>
          <w:rFonts w:hAnsi="Times New Roman" w:ascii="Times New Roman"/>
          <w:b/>
          <w:sz w:val="26"/>
          <w:szCs w:val="26"/>
        </w:rPr>
        <w:t xml:space="preserve">20</w:t>
      </w:r>
      <w:r>
        <w:rPr>
          <w:rFonts w:hAnsi="Times New Roman" w:ascii="Times New Roman"/>
          <w:b/>
          <w:sz w:val="26"/>
          <w:szCs w:val="26"/>
        </w:rPr>
        <w:t xml:space="preserve">2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учебный год</w:t>
      </w:r>
      <w:r/>
    </w:p>
    <w:tbl>
      <w:tblPr>
        <w:tblW w:type="dxa" w:w="14567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val="00A0" w:noVBand="0" w:noHBand="0" w:lastColumn="0" w:firstColumn="1" w:lastRow="0" w:firstRow="1"/>
      </w:tblPr>
      <w:tblGrid>
        <w:gridCol w:w="1809"/>
        <w:gridCol w:w="1985"/>
        <w:gridCol w:w="1843"/>
        <w:gridCol w:w="1701"/>
        <w:gridCol w:w="1062"/>
        <w:gridCol w:w="1206"/>
        <w:gridCol w:w="1701"/>
        <w:gridCol w:w="1559"/>
        <w:gridCol w:w="1701"/>
      </w:tblGrid>
      <w:tr>
        <w:trPr>
          <w:trHeight w:val="276"/>
          <w:tblHeader/>
        </w:trPr>
        <w:tc>
          <w:tcPr>
            <w:tcW w:type="dxa" w:w="1809"/>
            <w:vMerge w:val="restart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Вид 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 контактной 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работы</w:t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i/>
                <w:sz w:val="20"/>
                <w:szCs w:val="20"/>
                <w:lang w:val="en-US"/>
              </w:rPr>
              <w:t xml:space="preserve">Тип</w:t>
            </w:r>
            <w:r>
              <w:rPr>
                <w:rFonts w:hAnsi="Times New Roman" w:ascii="Times New Roman"/>
                <w:b/>
                <w:i/>
                <w:sz w:val="20"/>
                <w:szCs w:val="20"/>
              </w:rPr>
              <w:t xml:space="preserve"> (единица измерения)</w:t>
            </w:r>
            <w:r/>
          </w:p>
        </w:tc>
        <w:tc>
          <w:tcPr>
            <w:tcW w:type="dxa" w:w="10773"/>
            <w:gridSpan w:val="7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Форм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ы контактной работы</w:t>
            </w:r>
            <w:r/>
          </w:p>
        </w:tc>
      </w:tr>
      <w:tr>
        <w:trPr>
          <w:trHeight w:val="252"/>
          <w:tblHeader/>
        </w:trPr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  <w:lang w:val="en-US"/>
              </w:rPr>
            </w:pPr>
            <w:r>
              <w:rPr>
                <w:rFonts w:hAnsi="Times New Roman" w:ascii="Times New Roman"/>
                <w:b/>
                <w:sz w:val="20"/>
                <w:szCs w:val="20"/>
                <w:lang w:val="en-US"/>
              </w:rPr>
            </w:r>
            <w:r/>
          </w:p>
        </w:tc>
        <w:tc>
          <w:tcPr>
            <w:tcW w:type="dxa" w:w="10773"/>
            <w:gridSpan w:val="7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Количество 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академических 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часов </w:t>
            </w: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 по видам контактной работы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 на одного обучающегося/группу обучающихся</w:t>
            </w:r>
            <w:r/>
          </w:p>
        </w:tc>
      </w:tr>
      <w:tr>
        <w:trPr/>
        <w:tc>
          <w:tcPr>
            <w:tcW w:type="dxa" w:w="1809"/>
            <w:vMerge w:val="restart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Аудиторная работа</w:t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Учебные занятия и научно-исследовательские семинары  (за один академический час)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Лекции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Семинар, практическое занятие, лабораторная работа</w:t>
            </w:r>
            <w:r/>
          </w:p>
        </w:tc>
        <w:tc>
          <w:tcPr>
            <w:tcW w:type="dxa" w:w="106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Мастер-класс</w:t>
            </w:r>
            <w:r/>
          </w:p>
        </w:tc>
        <w:tc>
          <w:tcPr>
            <w:tcW w:type="dxa" w:w="1206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Мастер-класс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для ОП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школы дизайна</w:t>
            </w: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Тренинг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Занятие на базе Лицея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НИУ ВШЭ или распределенного лицея НИУ ВШЭ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Научно-исследовательский семинар на всех преподавателей для одной группы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обучающихся</w:t>
            </w:r>
            <w:r/>
          </w:p>
        </w:tc>
      </w:tr>
      <w:tr>
        <w:trPr>
          <w:trHeight w:val="318"/>
        </w:trPr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06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tcW w:type="dxa" w:w="1206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</w:tr>
      <w:tr>
        <w:trPr>
          <w:trHeight w:val="564"/>
        </w:trPr>
        <w:tc>
          <w:tcPr>
            <w:tcW w:type="dxa" w:w="1809"/>
            <w:vMerge w:val="restart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Контроль</w:t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Прием вступительных испытаний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 (на одного абитуриента или поток) каждому экзаменатору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Устная форма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Письменная форма (за 1 час письменного экзамена на потоке, но не более 4 часов)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Проверка письменной работы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Вступительные экзамены в аспирантуру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Кандидатские экзамены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0,25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0,3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  <w:lang w:val="en-US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А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ттестация 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i/>
              </w:rPr>
              <w:t xml:space="preserve"> (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на одного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обучающегося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Государственный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э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кзамен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(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Защита ВКР бакалавра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(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Защита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ВКР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специалиста/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магистра/ аспиранта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(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каждому преподавателю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Защита </w:t>
            </w:r>
            <w:r>
              <w:rPr>
                <w:rFonts w:hAnsi="Times New Roman" w:ascii="Times New Roman"/>
                <w:sz w:val="20"/>
                <w:szCs w:val="20"/>
                <w:lang w:val="en-US"/>
              </w:rPr>
              <w:t xml:space="preserve">Project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  <w:lang w:val="en-US"/>
              </w:rPr>
              <w:t xml:space="preserve">Proposal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(каждому преподавателю)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lang w:val="en-US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0,5 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0,5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0,5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Рецензирование (за одну работу)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 бакалавра/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специалиста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 магистра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Рефераты при поступлении в аспирантуру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Научные доклады кандидатов в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докторантуру (за один печатный лист)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Экспертиза диссертационных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исследований на соискание ученой степени кандидата наук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Экспертиза диссертационных исследований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на соискание ученой степени доктора наук</w:t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10</w:t>
            </w:r>
            <w:r/>
          </w:p>
        </w:tc>
      </w:tr>
      <w:tr>
        <w:trPr/>
        <w:tc>
          <w:tcPr>
            <w:tcW w:type="dxa" w:w="1809"/>
            <w:vMerge w:val="restart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Руководство</w:t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Проект, практика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одним студентом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,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задействованным в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исследовательском или прикладном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проект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е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(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н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кажд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ую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зачетную единицу проекта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студентами, участвующими в сервисном проекте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(за один проект)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Индивидуальное руководство (за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1,5 кредита)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практик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ой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одного студента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группой студентов на практике (за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1,5 кредита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 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НИС без проведения занятий (за один академический час)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группой студентов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до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20 человек на практике, проводимой с выездом к месту проведения  (за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1,5 кредита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0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12</w:t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Курсовые (КР) и выпускные квалификационные работы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(ВКР)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(за одну работу)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Междисциплинарная КР</w:t>
            </w:r>
            <w:r/>
          </w:p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КР по дисциплине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 бакалавра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 магистра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ВКР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специалиста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20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35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trHeight w:val="837"/>
        </w:trPr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Руководство аспирантами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или стажировкой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(за одного 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человека</w:t>
            </w: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очным аспирантом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заочным аспирантом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highlight w:val="yellow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аспирантом другого университета, находящегося в НИУ ВШЭ в связи с академической мобильностью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Научные консультации докторанта</w:t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участниками стажировки (до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трех месяцев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Руководство участниками стажировки (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от трех месяцев до полугода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)</w:t>
            </w:r>
            <w:r/>
          </w:p>
        </w:tc>
      </w:tr>
      <w:tr>
        <w:trPr>
          <w:trHeight w:val="268"/>
        </w:trPr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50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  <w:highlight w:val="yellow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50</w:t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50</w:t>
            </w:r>
            <w:r/>
          </w:p>
        </w:tc>
      </w:tr>
      <w:tr>
        <w:trPr>
          <w:trHeight w:val="276"/>
        </w:trPr>
        <w:tc>
          <w:tcPr>
            <w:tcW w:type="dxa" w:w="1809"/>
            <w:vMerge w:val="restart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Иные виды работ</w:t>
            </w:r>
            <w:r/>
          </w:p>
        </w:tc>
        <w:tc>
          <w:tcPr>
            <w:tcW w:type="dxa" w:w="1985"/>
            <w:vMerge w:val="restart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  <w:t xml:space="preserve">Каждому преподавателю, принимающему участие</w:t>
            </w:r>
            <w:r/>
          </w:p>
        </w:tc>
        <w:tc>
          <w:tcPr>
            <w:tcW w:type="dxa" w:w="1843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Консультация п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еред вступительным экзаменом (на поток)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Консультация п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еред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ГИА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(на группу)</w:t>
            </w:r>
            <w:r/>
          </w:p>
        </w:tc>
        <w:tc>
          <w:tcPr>
            <w:tcW w:type="dxa" w:w="2268"/>
            <w:gridSpan w:val="2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>
              <w:rPr>
                <w:rFonts w:hAnsi="Times New Roman" w:ascii="Times New Roman"/>
                <w:sz w:val="20"/>
                <w:szCs w:val="20"/>
                <w:lang w:val="en-US"/>
              </w:rPr>
              <w:t xml:space="preserve">MOOC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 другого автора</w:t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559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trHeight w:val="276"/>
        </w:trPr>
        <w:tc>
          <w:tcPr>
            <w:tcW w:type="dxa" w:w="1809"/>
            <w:vMerge w:val="continue"/>
            <w:shd w:fill="DBE5F1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985"/>
            <w:vMerge w:val="continue"/>
            <w:shd w:fill="EAF1DD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i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sz w:val="20"/>
                <w:szCs w:val="20"/>
              </w:rPr>
            </w:r>
            <w:r/>
          </w:p>
        </w:tc>
        <w:tc>
          <w:tcPr>
            <w:tcW w:type="dxa" w:w="1843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type="dxa" w:w="2268"/>
            <w:gridSpan w:val="2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0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%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от числа часов, занятых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MOOC</w:t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559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01"/>
            <w:shd w:fill="F2DBDB" w:color="auto" w:val="clear"/>
            <w:noWrap w:val="false"/>
            <w:textDirection w:val="lrTb"/>
            <w:vAlign w:val="center"/>
          </w:tcPr>
          <w:p>
            <w:pPr>
              <w:spacing w:lineRule="auto" w:line="240" w:after="0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</w:tbl>
    <w:p>
      <w:r/>
      <w:r/>
    </w:p>
    <w:sectPr>
      <w:headerReference w:type="default" r:id="rId8"/>
      <w:footnotePr/>
      <w:type w:val="nextPage"/>
      <w:pgSz w:orient="landscape" w:h="11906" w:w="16838"/>
      <w:pgMar w:gutter="0" w:footer="709" w:header="709" w:left="1134" w:bottom="850" w:right="1134" w:top="1701"/>
      <w:cols w:sep="false" w:num="1" w:space="708" w:equalWidth="true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5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2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"/>
      <w:lvlJc w:val="left"/>
      <w:pPr>
        <w:ind w:left="0" w:hanging="0"/>
        <w:tabs>
          <w:tab w:val="left" w:pos="0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"/>
      <w:lvlJc w:val="left"/>
      <w:pPr>
        <w:ind w:left="1080" w:hanging="356"/>
        <w:tabs>
          <w:tab w:val="left" w:pos="720" w:leader="none"/>
        </w:tabs>
      </w:pPr>
      <w:rPr>
        <w:rFonts w:ascii="Symbol" w:hAnsi="Symbol" w:hint="default"/>
      </w:rPr>
    </w:lvl>
    <w:lvl w:ilvl="2">
      <w:start w:val="1"/>
      <w:numFmt w:val="bullet"/>
      <w:suff w:val="tab"/>
      <w:lvlText w:val="o"/>
      <w:lvlJc w:val="left"/>
      <w:pPr>
        <w:ind w:left="1800" w:hanging="356"/>
        <w:tabs>
          <w:tab w:val="left" w:pos="1440" w:leader="none"/>
        </w:tabs>
      </w:pPr>
      <w:rPr>
        <w:rFonts w:ascii="Courier New" w:hAnsi="Courier New" w:cs="Courier New" w:hint="default"/>
      </w:rPr>
    </w:lvl>
    <w:lvl w:ilvl="3">
      <w:start w:val="1"/>
      <w:numFmt w:val="bullet"/>
      <w:suff w:val="tab"/>
      <w:lvlText w:val=""/>
      <w:lvlJc w:val="left"/>
      <w:pPr>
        <w:ind w:left="2520" w:hanging="356"/>
        <w:tabs>
          <w:tab w:val="left" w:pos="2160" w:leader="none"/>
        </w:tabs>
      </w:pPr>
      <w:rPr>
        <w:rFonts w:ascii="Wingdings" w:hAnsi="Wingdings" w:hint="default"/>
      </w:rPr>
    </w:lvl>
    <w:lvl w:ilvl="4">
      <w:start w:val="1"/>
      <w:numFmt w:val="bullet"/>
      <w:suff w:val="tab"/>
      <w:lvlText w:val=""/>
      <w:lvlJc w:val="left"/>
      <w:pPr>
        <w:ind w:left="3240" w:hanging="356"/>
        <w:tabs>
          <w:tab w:val="left" w:pos="2880" w:leader="none"/>
        </w:tabs>
      </w:pPr>
      <w:rPr>
        <w:rFonts w:ascii="Wingdings" w:hAnsi="Wingdings" w:hint="default"/>
      </w:rPr>
    </w:lvl>
    <w:lvl w:ilvl="5">
      <w:start w:val="1"/>
      <w:numFmt w:val="bullet"/>
      <w:suff w:val="tab"/>
      <w:lvlText w:val=""/>
      <w:lvlJc w:val="left"/>
      <w:pPr>
        <w:ind w:left="3960" w:hanging="356"/>
        <w:tabs>
          <w:tab w:val="left" w:pos="3600" w:leader="none"/>
        </w:tabs>
      </w:pPr>
      <w:rPr>
        <w:rFonts w:ascii="Symbol" w:hAnsi="Symbol" w:hint="default"/>
      </w:rPr>
    </w:lvl>
    <w:lvl w:ilvl="6">
      <w:start w:val="1"/>
      <w:numFmt w:val="bullet"/>
      <w:suff w:val="tab"/>
      <w:lvlText w:val="o"/>
      <w:lvlJc w:val="left"/>
      <w:pPr>
        <w:ind w:left="4680" w:hanging="356"/>
        <w:tabs>
          <w:tab w:val="left" w:pos="4320" w:leader="none"/>
        </w:tabs>
      </w:pPr>
      <w:rPr>
        <w:rFonts w:ascii="Courier New" w:hAnsi="Courier New" w:cs="Courier New" w:hint="default"/>
      </w:rPr>
    </w:lvl>
    <w:lvl w:ilvl="7">
      <w:start w:val="1"/>
      <w:numFmt w:val="bullet"/>
      <w:suff w:val="tab"/>
      <w:lvlText w:val=""/>
      <w:lvlJc w:val="left"/>
      <w:pPr>
        <w:ind w:left="5400" w:hanging="356"/>
        <w:tabs>
          <w:tab w:val="left" w:pos="5040" w:leader="none"/>
        </w:tabs>
      </w:pPr>
      <w:rPr>
        <w:rFonts w:ascii="Wingdings" w:hAnsi="Wingdings" w:hint="default"/>
      </w:rPr>
    </w:lvl>
    <w:lvl w:ilvl="8">
      <w:start w:val="1"/>
      <w:numFmt w:val="bullet"/>
      <w:suff w:val="tab"/>
      <w:lvlText w:val=""/>
      <w:lvlJc w:val="left"/>
      <w:pPr>
        <w:ind w:left="6120" w:hanging="356"/>
        <w:tabs>
          <w:tab w:val="left" w:pos="576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6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6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6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6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6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6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6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6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6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6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6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6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6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6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6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6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6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6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6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6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6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6">
    <w:name w:val="Heading 1"/>
    <w:basedOn w:val="250"/>
    <w:next w:val="250"/>
    <w:link w:val="1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87">
    <w:name w:val="Heading 1 Char"/>
    <w:basedOn w:val="252"/>
    <w:link w:val="186"/>
    <w:uiPriority w:val="9"/>
    <w:rPr>
      <w:rFonts w:ascii="Arial" w:hAnsi="Arial" w:cs="Arial" w:eastAsia="Arial"/>
      <w:sz w:val="40"/>
      <w:szCs w:val="40"/>
    </w:rPr>
  </w:style>
  <w:style w:type="character" w:styleId="188">
    <w:name w:val="Heading 2 Char"/>
    <w:basedOn w:val="252"/>
    <w:link w:val="251"/>
    <w:uiPriority w:val="9"/>
    <w:rPr>
      <w:rFonts w:ascii="Arial" w:hAnsi="Arial" w:cs="Arial" w:eastAsia="Arial"/>
      <w:sz w:val="34"/>
    </w:rPr>
  </w:style>
  <w:style w:type="paragraph" w:styleId="189">
    <w:name w:val="Heading 3"/>
    <w:basedOn w:val="250"/>
    <w:next w:val="250"/>
    <w:link w:val="19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90">
    <w:name w:val="Heading 3 Char"/>
    <w:basedOn w:val="252"/>
    <w:link w:val="189"/>
    <w:uiPriority w:val="9"/>
    <w:rPr>
      <w:rFonts w:ascii="Arial" w:hAnsi="Arial" w:cs="Arial" w:eastAsia="Arial"/>
      <w:sz w:val="30"/>
      <w:szCs w:val="30"/>
    </w:rPr>
  </w:style>
  <w:style w:type="paragraph" w:styleId="191">
    <w:name w:val="Heading 4"/>
    <w:basedOn w:val="250"/>
    <w:next w:val="250"/>
    <w:link w:val="19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92">
    <w:name w:val="Heading 4 Char"/>
    <w:basedOn w:val="252"/>
    <w:link w:val="191"/>
    <w:uiPriority w:val="9"/>
    <w:rPr>
      <w:rFonts w:ascii="Arial" w:hAnsi="Arial" w:cs="Arial" w:eastAsia="Arial"/>
      <w:b/>
      <w:bCs/>
      <w:sz w:val="26"/>
      <w:szCs w:val="26"/>
    </w:rPr>
  </w:style>
  <w:style w:type="paragraph" w:styleId="193">
    <w:name w:val="Heading 5"/>
    <w:basedOn w:val="250"/>
    <w:next w:val="250"/>
    <w:link w:val="19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94">
    <w:name w:val="Heading 5 Char"/>
    <w:basedOn w:val="252"/>
    <w:link w:val="193"/>
    <w:uiPriority w:val="9"/>
    <w:rPr>
      <w:rFonts w:ascii="Arial" w:hAnsi="Arial" w:cs="Arial" w:eastAsia="Arial"/>
      <w:b/>
      <w:bCs/>
      <w:sz w:val="24"/>
      <w:szCs w:val="24"/>
    </w:rPr>
  </w:style>
  <w:style w:type="paragraph" w:styleId="195">
    <w:name w:val="Heading 6"/>
    <w:basedOn w:val="250"/>
    <w:next w:val="250"/>
    <w:link w:val="19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96">
    <w:name w:val="Heading 6 Char"/>
    <w:basedOn w:val="252"/>
    <w:link w:val="195"/>
    <w:uiPriority w:val="9"/>
    <w:rPr>
      <w:rFonts w:ascii="Arial" w:hAnsi="Arial" w:cs="Arial" w:eastAsia="Arial"/>
      <w:b/>
      <w:bCs/>
      <w:sz w:val="22"/>
      <w:szCs w:val="22"/>
    </w:rPr>
  </w:style>
  <w:style w:type="paragraph" w:styleId="197">
    <w:name w:val="Heading 7"/>
    <w:basedOn w:val="250"/>
    <w:next w:val="250"/>
    <w:link w:val="19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98">
    <w:name w:val="Heading 7 Char"/>
    <w:basedOn w:val="252"/>
    <w:link w:val="19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99">
    <w:name w:val="Heading 8"/>
    <w:basedOn w:val="250"/>
    <w:next w:val="250"/>
    <w:link w:val="20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00">
    <w:name w:val="Heading 8 Char"/>
    <w:basedOn w:val="252"/>
    <w:link w:val="199"/>
    <w:uiPriority w:val="9"/>
    <w:rPr>
      <w:rFonts w:ascii="Arial" w:hAnsi="Arial" w:cs="Arial" w:eastAsia="Arial"/>
      <w:i/>
      <w:iCs/>
      <w:sz w:val="22"/>
      <w:szCs w:val="22"/>
    </w:rPr>
  </w:style>
  <w:style w:type="paragraph" w:styleId="201">
    <w:name w:val="Heading 9"/>
    <w:basedOn w:val="250"/>
    <w:next w:val="250"/>
    <w:link w:val="20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02">
    <w:name w:val="Heading 9 Char"/>
    <w:basedOn w:val="252"/>
    <w:link w:val="201"/>
    <w:uiPriority w:val="9"/>
    <w:rPr>
      <w:rFonts w:ascii="Arial" w:hAnsi="Arial" w:cs="Arial" w:eastAsia="Arial"/>
      <w:i/>
      <w:iCs/>
      <w:sz w:val="21"/>
      <w:szCs w:val="21"/>
    </w:rPr>
  </w:style>
  <w:style w:type="paragraph" w:styleId="203">
    <w:name w:val="List Paragraph"/>
    <w:basedOn w:val="250"/>
    <w:qFormat/>
    <w:uiPriority w:val="34"/>
    <w:pPr>
      <w:contextualSpacing w:val="true"/>
      <w:ind w:left="720"/>
    </w:pPr>
  </w:style>
  <w:style w:type="paragraph" w:styleId="204">
    <w:name w:val="No Spacing"/>
    <w:qFormat/>
    <w:uiPriority w:val="1"/>
    <w:pPr>
      <w:spacing w:lineRule="auto" w:line="240" w:after="0" w:before="0"/>
    </w:pPr>
  </w:style>
  <w:style w:type="paragraph" w:styleId="205">
    <w:name w:val="Title"/>
    <w:basedOn w:val="250"/>
    <w:next w:val="250"/>
    <w:link w:val="20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06">
    <w:name w:val="Title Char"/>
    <w:basedOn w:val="252"/>
    <w:link w:val="205"/>
    <w:uiPriority w:val="10"/>
    <w:rPr>
      <w:sz w:val="48"/>
      <w:szCs w:val="48"/>
    </w:rPr>
  </w:style>
  <w:style w:type="paragraph" w:styleId="207">
    <w:name w:val="Subtitle"/>
    <w:basedOn w:val="250"/>
    <w:next w:val="250"/>
    <w:link w:val="208"/>
    <w:qFormat/>
    <w:uiPriority w:val="11"/>
    <w:rPr>
      <w:sz w:val="24"/>
      <w:szCs w:val="24"/>
    </w:rPr>
    <w:pPr>
      <w:spacing w:after="200" w:before="200"/>
    </w:pPr>
  </w:style>
  <w:style w:type="character" w:styleId="208">
    <w:name w:val="Subtitle Char"/>
    <w:basedOn w:val="252"/>
    <w:link w:val="207"/>
    <w:uiPriority w:val="11"/>
    <w:rPr>
      <w:sz w:val="24"/>
      <w:szCs w:val="24"/>
    </w:rPr>
  </w:style>
  <w:style w:type="paragraph" w:styleId="209">
    <w:name w:val="Quote"/>
    <w:basedOn w:val="250"/>
    <w:next w:val="250"/>
    <w:link w:val="210"/>
    <w:qFormat/>
    <w:uiPriority w:val="29"/>
    <w:rPr>
      <w:i/>
    </w:rPr>
    <w:pPr>
      <w:ind w:left="720" w:right="720"/>
    </w:pPr>
  </w:style>
  <w:style w:type="character" w:styleId="210">
    <w:name w:val="Quote Char"/>
    <w:link w:val="209"/>
    <w:uiPriority w:val="29"/>
    <w:rPr>
      <w:i/>
    </w:rPr>
  </w:style>
  <w:style w:type="paragraph" w:styleId="211">
    <w:name w:val="Intense Quote"/>
    <w:basedOn w:val="250"/>
    <w:next w:val="250"/>
    <w:link w:val="21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12">
    <w:name w:val="Intense Quote Char"/>
    <w:link w:val="211"/>
    <w:uiPriority w:val="30"/>
    <w:rPr>
      <w:i/>
    </w:rPr>
  </w:style>
  <w:style w:type="character" w:styleId="213">
    <w:name w:val="Header Char"/>
    <w:basedOn w:val="252"/>
    <w:link w:val="259"/>
    <w:uiPriority w:val="99"/>
  </w:style>
  <w:style w:type="character" w:styleId="214">
    <w:name w:val="Footer Char"/>
    <w:basedOn w:val="252"/>
    <w:link w:val="261"/>
    <w:uiPriority w:val="99"/>
  </w:style>
  <w:style w:type="table" w:styleId="215">
    <w:name w:val="Lined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6">
    <w:name w:val="Lined - Accent 1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7">
    <w:name w:val="Lined - Accent 2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8">
    <w:name w:val="Lined - Accent 3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19">
    <w:name w:val="Lined - Accent 4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20">
    <w:name w:val="Lined - Accent 5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1">
    <w:name w:val="Lined - Accent 6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22">
    <w:name w:val="Bordered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23">
    <w:name w:val="Bordered - Accent 1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4">
    <w:name w:val="Bordered - Accent 2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5">
    <w:name w:val="Bordered - Accent 3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6">
    <w:name w:val="Bordered - Accent 4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7">
    <w:name w:val="Bordered - Accent 5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28">
    <w:name w:val="Bordered - Accent 6"/>
    <w:basedOn w:val="2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29">
    <w:name w:val="Bordered &amp; Lined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30">
    <w:name w:val="Bordered &amp; Lined - Accent 1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1">
    <w:name w:val="Bordered &amp; Lined - Accent 2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2">
    <w:name w:val="Bordered &amp; Lined - Accent 3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33">
    <w:name w:val="Bordered &amp; Lined - Accent 4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4">
    <w:name w:val="Bordered &amp; Lined - Accent 5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5">
    <w:name w:val="Bordered &amp; Lined - Accent 6"/>
    <w:basedOn w:val="2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6">
    <w:name w:val="Hyperlink"/>
    <w:uiPriority w:val="99"/>
    <w:unhideWhenUsed/>
    <w:rPr>
      <w:color w:val="0000FF" w:themeColor="hyperlink"/>
      <w:u w:val="single"/>
    </w:rPr>
  </w:style>
  <w:style w:type="paragraph" w:styleId="237">
    <w:name w:val="footnote text"/>
    <w:basedOn w:val="250"/>
    <w:link w:val="238"/>
    <w:uiPriority w:val="99"/>
    <w:semiHidden/>
    <w:unhideWhenUsed/>
    <w:rPr>
      <w:sz w:val="18"/>
    </w:rPr>
    <w:pPr>
      <w:spacing w:lineRule="auto" w:line="240" w:after="40"/>
    </w:pPr>
  </w:style>
  <w:style w:type="character" w:styleId="238">
    <w:name w:val="Footnote Text Char"/>
    <w:link w:val="237"/>
    <w:uiPriority w:val="99"/>
    <w:rPr>
      <w:sz w:val="18"/>
    </w:rPr>
  </w:style>
  <w:style w:type="character" w:styleId="239">
    <w:name w:val="footnote reference"/>
    <w:basedOn w:val="252"/>
    <w:uiPriority w:val="99"/>
    <w:unhideWhenUsed/>
    <w:rPr>
      <w:vertAlign w:val="superscript"/>
    </w:rPr>
  </w:style>
  <w:style w:type="paragraph" w:styleId="240">
    <w:name w:val="toc 1"/>
    <w:basedOn w:val="250"/>
    <w:next w:val="250"/>
    <w:uiPriority w:val="39"/>
    <w:unhideWhenUsed/>
    <w:pPr>
      <w:ind w:left="0" w:right="0" w:hanging="0"/>
      <w:spacing w:after="57"/>
    </w:pPr>
  </w:style>
  <w:style w:type="paragraph" w:styleId="241">
    <w:name w:val="toc 2"/>
    <w:basedOn w:val="250"/>
    <w:next w:val="250"/>
    <w:uiPriority w:val="39"/>
    <w:unhideWhenUsed/>
    <w:pPr>
      <w:ind w:left="283" w:right="0" w:hanging="0"/>
      <w:spacing w:after="57"/>
    </w:pPr>
  </w:style>
  <w:style w:type="paragraph" w:styleId="242">
    <w:name w:val="toc 3"/>
    <w:basedOn w:val="250"/>
    <w:next w:val="250"/>
    <w:uiPriority w:val="39"/>
    <w:unhideWhenUsed/>
    <w:pPr>
      <w:ind w:left="567" w:right="0" w:hanging="0"/>
      <w:spacing w:after="57"/>
    </w:pPr>
  </w:style>
  <w:style w:type="paragraph" w:styleId="243">
    <w:name w:val="toc 4"/>
    <w:basedOn w:val="250"/>
    <w:next w:val="250"/>
    <w:uiPriority w:val="39"/>
    <w:unhideWhenUsed/>
    <w:pPr>
      <w:ind w:left="850" w:right="0" w:hanging="0"/>
      <w:spacing w:after="57"/>
    </w:pPr>
  </w:style>
  <w:style w:type="paragraph" w:styleId="244">
    <w:name w:val="toc 5"/>
    <w:basedOn w:val="250"/>
    <w:next w:val="250"/>
    <w:uiPriority w:val="39"/>
    <w:unhideWhenUsed/>
    <w:pPr>
      <w:ind w:left="1134" w:right="0" w:hanging="0"/>
      <w:spacing w:after="57"/>
    </w:pPr>
  </w:style>
  <w:style w:type="paragraph" w:styleId="245">
    <w:name w:val="toc 6"/>
    <w:basedOn w:val="250"/>
    <w:next w:val="250"/>
    <w:uiPriority w:val="39"/>
    <w:unhideWhenUsed/>
    <w:pPr>
      <w:ind w:left="1417" w:right="0" w:hanging="0"/>
      <w:spacing w:after="57"/>
    </w:pPr>
  </w:style>
  <w:style w:type="paragraph" w:styleId="246">
    <w:name w:val="toc 7"/>
    <w:basedOn w:val="250"/>
    <w:next w:val="250"/>
    <w:uiPriority w:val="39"/>
    <w:unhideWhenUsed/>
    <w:pPr>
      <w:ind w:left="1701" w:right="0" w:hanging="0"/>
      <w:spacing w:after="57"/>
    </w:pPr>
  </w:style>
  <w:style w:type="paragraph" w:styleId="247">
    <w:name w:val="toc 8"/>
    <w:basedOn w:val="250"/>
    <w:next w:val="250"/>
    <w:uiPriority w:val="39"/>
    <w:unhideWhenUsed/>
    <w:pPr>
      <w:ind w:left="1984" w:right="0" w:hanging="0"/>
      <w:spacing w:after="57"/>
    </w:pPr>
  </w:style>
  <w:style w:type="paragraph" w:styleId="248">
    <w:name w:val="toc 9"/>
    <w:basedOn w:val="250"/>
    <w:next w:val="250"/>
    <w:uiPriority w:val="39"/>
    <w:unhideWhenUsed/>
    <w:pPr>
      <w:ind w:left="2268" w:right="0" w:hanging="0"/>
      <w:spacing w:after="57"/>
    </w:pPr>
  </w:style>
  <w:style w:type="paragraph" w:styleId="249">
    <w:name w:val="TOC Heading"/>
    <w:uiPriority w:val="39"/>
    <w:unhideWhenUsed/>
  </w:style>
  <w:style w:type="paragraph" w:styleId="250" w:default="1">
    <w:name w:val="Normal"/>
    <w:qFormat/>
    <w:rPr>
      <w:rFonts w:eastAsia="Times New Roman"/>
      <w:sz w:val="22"/>
      <w:szCs w:val="22"/>
      <w:lang w:eastAsia="en-US"/>
    </w:rPr>
    <w:pPr>
      <w:spacing w:lineRule="auto" w:line="276" w:after="200"/>
    </w:pPr>
  </w:style>
  <w:style w:type="paragraph" w:styleId="251">
    <w:name w:val="Heading 2"/>
    <w:basedOn w:val="250"/>
    <w:next w:val="250"/>
    <w:link w:val="258"/>
    <w:qFormat/>
    <w:rPr>
      <w:rFonts w:ascii="Cambria" w:hAnsi="Cambria" w:eastAsia="Calibri"/>
      <w:b/>
      <w:bCs/>
      <w:color w:val="4F81BD"/>
      <w:sz w:val="26"/>
      <w:szCs w:val="26"/>
    </w:rPr>
    <w:pPr>
      <w:keepLines/>
      <w:keepNext/>
      <w:spacing w:after="0" w:before="200"/>
      <w:outlineLvl w:val="1"/>
    </w:pPr>
  </w:style>
  <w:style w:type="character" w:styleId="252" w:default="1">
    <w:name w:val="Default Paragraph Font"/>
    <w:uiPriority w:val="1"/>
    <w:semiHidden/>
    <w:unhideWhenUsed/>
  </w:style>
  <w:style w:type="table" w:styleId="2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54" w:default="1">
    <w:name w:val="No List"/>
    <w:uiPriority w:val="99"/>
    <w:semiHidden/>
    <w:unhideWhenUsed/>
  </w:style>
  <w:style w:type="paragraph" w:styleId="255">
    <w:name w:val="Balloon Text"/>
    <w:basedOn w:val="250"/>
    <w:link w:val="268"/>
    <w:semiHidden/>
    <w:rPr>
      <w:rFonts w:ascii="Tahoma" w:hAnsi="Tahoma" w:eastAsia="Calibri"/>
      <w:sz w:val="16"/>
      <w:szCs w:val="16"/>
    </w:rPr>
    <w:pPr>
      <w:spacing w:lineRule="auto" w:line="240" w:after="0"/>
    </w:pPr>
  </w:style>
  <w:style w:type="table" w:styleId="256">
    <w:name w:val="Table Grid"/>
    <w:basedOn w:val="253"/>
    <w:rPr>
      <w:rFonts w:eastAsia="Times New Roman"/>
    </w:r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257" w:customStyle="1">
    <w:name w:val="Абзац списка1"/>
    <w:basedOn w:val="250"/>
    <w:pPr>
      <w:contextualSpacing w:val="true"/>
      <w:ind w:left="720"/>
    </w:pPr>
  </w:style>
  <w:style w:type="character" w:styleId="258" w:customStyle="1">
    <w:name w:val="Заголовок 2 Знак"/>
    <w:link w:val="251"/>
    <w:rPr>
      <w:rFonts w:ascii="Cambria" w:hAnsi="Cambria" w:cs="Times New Roman"/>
      <w:b/>
      <w:bCs/>
      <w:color w:val="4F81BD"/>
      <w:sz w:val="26"/>
      <w:szCs w:val="26"/>
    </w:rPr>
  </w:style>
  <w:style w:type="paragraph" w:styleId="259">
    <w:name w:val="Header"/>
    <w:basedOn w:val="250"/>
    <w:link w:val="260"/>
    <w:rPr>
      <w:rFonts w:eastAsia="Calibri"/>
      <w:sz w:val="20"/>
      <w:szCs w:val="20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260" w:customStyle="1">
    <w:name w:val="Верхний колонтитул Знак"/>
    <w:link w:val="259"/>
    <w:rPr>
      <w:rFonts w:cs="Times New Roman"/>
    </w:rPr>
  </w:style>
  <w:style w:type="paragraph" w:styleId="261">
    <w:name w:val="Footer"/>
    <w:basedOn w:val="250"/>
    <w:link w:val="262"/>
    <w:rPr>
      <w:rFonts w:eastAsia="Calibri"/>
      <w:sz w:val="20"/>
      <w:szCs w:val="20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262" w:customStyle="1">
    <w:name w:val="Нижний колонтитул Знак"/>
    <w:link w:val="261"/>
    <w:rPr>
      <w:rFonts w:cs="Times New Roman"/>
    </w:rPr>
  </w:style>
  <w:style w:type="character" w:styleId="263">
    <w:name w:val="annotation reference"/>
    <w:semiHidden/>
    <w:rPr>
      <w:rFonts w:cs="Times New Roman"/>
      <w:sz w:val="16"/>
      <w:szCs w:val="16"/>
    </w:rPr>
  </w:style>
  <w:style w:type="paragraph" w:styleId="264">
    <w:name w:val="annotation text"/>
    <w:basedOn w:val="250"/>
    <w:link w:val="265"/>
    <w:semiHidden/>
    <w:rPr>
      <w:rFonts w:eastAsia="Calibri"/>
      <w:sz w:val="20"/>
      <w:szCs w:val="20"/>
    </w:rPr>
    <w:pPr>
      <w:spacing w:lineRule="auto" w:line="240"/>
    </w:pPr>
  </w:style>
  <w:style w:type="character" w:styleId="265" w:customStyle="1">
    <w:name w:val="Текст примечания Знак"/>
    <w:link w:val="264"/>
    <w:semiHidden/>
    <w:rPr>
      <w:rFonts w:cs="Times New Roman"/>
      <w:sz w:val="20"/>
      <w:szCs w:val="20"/>
    </w:rPr>
  </w:style>
  <w:style w:type="paragraph" w:styleId="266">
    <w:name w:val="annotation subject"/>
    <w:basedOn w:val="264"/>
    <w:next w:val="264"/>
    <w:link w:val="267"/>
    <w:semiHidden/>
    <w:rPr>
      <w:b/>
      <w:bCs/>
    </w:rPr>
  </w:style>
  <w:style w:type="character" w:styleId="267" w:customStyle="1">
    <w:name w:val="Тема примечания Знак"/>
    <w:link w:val="266"/>
    <w:semiHidden/>
    <w:rPr>
      <w:rFonts w:cs="Times New Roman"/>
      <w:b/>
      <w:bCs/>
      <w:sz w:val="20"/>
      <w:szCs w:val="20"/>
    </w:rPr>
  </w:style>
  <w:style w:type="character" w:styleId="268" w:customStyle="1">
    <w:name w:val="Текст выноски Знак"/>
    <w:link w:val="255"/>
    <w:semiHidden/>
    <w:rPr>
      <w:rFonts w:ascii="Tahoma" w:hAnsi="Tahoma" w:cs="Tahoma"/>
      <w:sz w:val="16"/>
      <w:szCs w:val="16"/>
    </w:rPr>
  </w:style>
  <w:style w:type="paragraph" w:styleId="269" w:customStyle="1">
    <w:name w:val="Рецензия1"/>
    <w:hidden/>
    <w:semiHidden/>
    <w:rPr>
      <w:rFonts w:eastAsia="Times New Roman"/>
      <w:sz w:val="22"/>
      <w:szCs w:val="22"/>
      <w:lang w:eastAsia="en-US"/>
    </w:rPr>
  </w:style>
  <w:style w:type="character" w:styleId="270" w:customStyle="1">
    <w:name w:val="defaultlabelstyle3"/>
    <w:basedOn w:val="252"/>
    <w:rPr>
      <w:rFonts w:ascii="Trebuchet MS" w:hAnsi="Trebuchet MS" w:hint="default"/>
      <w:color w:val="333333"/>
    </w:rPr>
  </w:style>
  <w:style w:type="paragraph" w:styleId="271">
    <w:name w:val="Revision"/>
    <w:uiPriority w:val="99"/>
    <w:hidden/>
    <w:semiHidden/>
    <w:rPr>
      <w:rFonts w:eastAsia="Times New Roman"/>
      <w:sz w:val="22"/>
      <w:szCs w:val="22"/>
      <w:lang w:eastAsia="en-US"/>
    </w:rPr>
  </w:style>
  <w:style w:type="character" w:styleId="272" w:customStyle="1">
    <w:name w:val="cavalue1"/>
    <w:basedOn w:val="252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    <Relationship Id="rId6" Type="http://schemas.openxmlformats.org/officeDocument/2006/relationships/numbering" Target="numbering.xml"/>
    <Relationship Id="rId7" Type="http://schemas.openxmlformats.org/officeDocument/2006/relationships/footnotes" Target="footnotes.xml"/>
    <Relationship Id="rId8" Type="http://schemas.openxmlformats.org/officeDocument/2006/relationships/header" Target="header1.xml"/>
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Чекмарева Т.А.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организации уч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2020/4/17-517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2020/2021 учебный год
</vt:lpwstr>
  </prop:property>
  <prop:property name="creatorPost" pid="13" fmtid="{D5CDD505-2E9C-101B-9397-08002B2CF9AE}">
    <vt:lpwstr>Главный эксперт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