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E" w:rsidRPr="0005735C" w:rsidRDefault="0005735C" w:rsidP="000573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Примерная тематика ВКР </w:t>
      </w:r>
    </w:p>
    <w:p w:rsidR="0005735C" w:rsidRDefault="0005735C"/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Анализ моделей кассовых сборов фильмов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Анализ социальных сетей в группе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Анализ текстовой информации на фондовом рынке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Байесовский подход к моделированию временны</w:t>
      </w:r>
      <w:bookmarkStart w:id="0" w:name="_GoBack"/>
      <w:bookmarkEnd w:id="0"/>
      <w:r w:rsidRPr="0005735C">
        <w:rPr>
          <w:rFonts w:ascii="Times New Roman" w:hAnsi="Times New Roman" w:cs="Times New Roman"/>
          <w:sz w:val="24"/>
          <w:szCs w:val="24"/>
        </w:rPr>
        <w:t>х рядов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 xml:space="preserve">Воздействие государственных мер поддержки на производство специальной техники в России 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Драйверы экономического роста компании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Иерархический подход к оценке жилой недвижимости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Исследование структуры и объема продаж автомобилей в России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735C">
        <w:rPr>
          <w:rFonts w:ascii="Times New Roman" w:hAnsi="Times New Roman" w:cs="Times New Roman"/>
          <w:sz w:val="24"/>
          <w:szCs w:val="24"/>
        </w:rPr>
        <w:t>Коинтеграция</w:t>
      </w:r>
      <w:proofErr w:type="spellEnd"/>
      <w:r w:rsidRPr="0005735C">
        <w:rPr>
          <w:rFonts w:ascii="Times New Roman" w:hAnsi="Times New Roman" w:cs="Times New Roman"/>
          <w:sz w:val="24"/>
          <w:szCs w:val="24"/>
        </w:rPr>
        <w:t xml:space="preserve"> и причинно-следственные связи рынков сырой нефти и золота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Модели оценки риска портфеля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Моделирование распространения пандемии COVID 19 с применением методов машинного обучения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Оценка влияния дополнительного профессионального обучения на положение работников на рынке труда в Российской Федерации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Оценка географических границ рынка для целей применения антимонопольного законодательства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Оценка эффективности таможенного регулирования в части обеспечения уплаты таможенных платежей в Приволжской электронной таможне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Региональные эффекты перелива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Роль финансовых и нефинансовых показателей на стоимость компании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Семантический анализ как фактор модели ценообразования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Учет экологических факторов в региональной экономической политике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Частотно-временной анализ экономических переменных в развитых и развивающихся странах как инструмент исследования структуры современных тенденций и цикличности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Экономический анализ в российских антимонопольных расследованиях сговора на торгах: эволюция подходов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 xml:space="preserve">Эмпирический анализ факторов, влияющих на международные торговые потоки </w:t>
      </w:r>
    </w:p>
    <w:sectPr w:rsidR="0005735C" w:rsidRPr="0005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C738A"/>
    <w:multiLevelType w:val="hybridMultilevel"/>
    <w:tmpl w:val="7684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5C"/>
    <w:rsid w:val="0005735C"/>
    <w:rsid w:val="002304D3"/>
    <w:rsid w:val="00886B5A"/>
    <w:rsid w:val="00F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6CD0-FC81-429C-99B1-6ADA006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Нурила Калыбековна</dc:creator>
  <cp:keywords/>
  <dc:description/>
  <cp:lastModifiedBy>Шульгина Нурила Калыбековна</cp:lastModifiedBy>
  <cp:revision>2</cp:revision>
  <dcterms:created xsi:type="dcterms:W3CDTF">2023-06-22T08:18:00Z</dcterms:created>
  <dcterms:modified xsi:type="dcterms:W3CDTF">2023-06-22T08:18:00Z</dcterms:modified>
</cp:coreProperties>
</file>